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Separator nadprzenosnikowy ferrytowy - 1000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ROFC100360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Separator nadprzenosnikowy ferrytowy - 1000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ROFC100360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ROP-F6-C-100-W-G-L-B-B-B-NA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Suitable for cross mounting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inline mounting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Advised max. installation 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 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Installation/transport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Lifting eye Ø40 mm (8x)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framework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Steel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rollers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Painted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Painted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 covers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Grit blasted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magnet(s)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Blue (Ultramarine blue): RAL 5002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motor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Black (Jet Black): RAL9005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frame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covering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(Stainless 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Colour rollers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Dark grey (Black grey): RAL7021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Conveying 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1200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speed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1,5 m/s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Belt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Rubber, with cleats (EP500/4 5+2)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Belt cleat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T100/10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ferrite magnet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Anisotropic ferrite F-33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dimensions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1240x1175x400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Main pole dimensions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1040x1175x400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drive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SEW electro motor with gear box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power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 kW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frequency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50 Hz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230 (Δ) / 400 (Y) V AC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position / operating side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Left (seen in transport direction)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Motor rotational speed (out)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71 rpm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Motor 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Duty cycle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100%, 24 hours/day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central greasing point on both sides for bearings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2560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1820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775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3030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