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Separator nadprzenosnikowy neodymowy - 1600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Numer artykułu: RONC160361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Właściwości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Separator nadprzenosnikowy neodymowy - 1600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Numer artykułu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RONC160361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Klucz produktu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ROP-N6-C-160-W-G-R-B-B-M-NA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cross mounting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inline mounting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Advised max. installation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1600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Installation/transport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Lifting eye Ø25 mm (8x)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framework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Stainless steel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magnet(s)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rollers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Painted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frame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Grit blasted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covers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Grit blasted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motor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Black (Jet Black): RAL9005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rollers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Dark grey (Umbra grey): RAL7022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Conveying 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2180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speed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 m/s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Rubber, with cleats (EP400/3 4+2)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cleat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T50/20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No. of cleats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14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Permanent Neoflux® magnet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N-38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dimensions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1800x1000x142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Main pole dimensions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1600x1000x142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drive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SEW electro motor with gear box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power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5,5 kW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frequency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 Hz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voltage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230 (Δ) / 400 (Y) V AC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position / operating side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Right (seen in transport direction)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rotational speed (out)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137 rpm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dust/water protection class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IP55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Duty cycle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100%, 24 hours/day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Including central greasing point on both sides for bearings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2620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1550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860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1820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