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>
            <w:r>
              <w:drawing>
                <wp:inline distT="0" distB="0" distL="0" distR="0">
                  <wp:extent cx="2876550" cy="2152650"/>
                  <wp:effectExtent l="19050" t="0" r="0" b="0"/>
                  <wp:docPr id="2" name="Picture 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https://www.goudsmitmagnetics.com/uploads/images/SBAMA100010-150_1_15231.jpg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1a1fb0e5a95f4c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152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Pręt magnetyczny - standardowy - N42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SBAMA100010-150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Pręt magnetyczny - standardowy - N42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SBAMA100010-150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BAR-N-23-150-25-1M6-NW-B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M6 (1x)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60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150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0,45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header" Target="header2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fontTable" Target="fontTable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footer" Target="footer2.xml" Id="rId14" /><Relationship Type="http://schemas.openxmlformats.org/officeDocument/2006/relationships/image" Target="/media/image.jpg" Id="R1a1fb0e5a95f4c32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