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customXml/itemProps4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header2.xml" ContentType="application/vnd.openxmlformats-officedocument.wordprocessingml.head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:rsidRPr="00C71B9E" w:rsidR="5363F69E" w:rsidP="00C71B9E" w:rsidRDefault="5363F69E" w14:paraId="4C94AECF" w14:textId="52FF6BD6"/>
    <w:tbl>
      <w:tblPr>
        <w:tblStyle w:val="TableGrid"/>
        <w:tblW w:w="5000" w:type="pct"/>
      </w:tblPr>
      <w:tblGrid>
        <w:gridCol/>
        <w:gridCol/>
      </w:tblGrid>
      <w:tr>
        <w:trPr/>
        <w:tc>
          <w:tcPr>
            <w:tcW w:w="2500" w:type="pct"/>
            <w:vAlign w:val="center"/>
          </w:tcPr>
          <w:p/>
        </w:tc>
        <w:tc>
          <w:tcPr>
            <w:tcW w:w="2500" w:type="pct"/>
            <w:vAlign w:val="top"/>
          </w:tcPr>
          <w:p>
            <w:r>
              <w:rPr>
                <w:b/>
                <w:color w:val="000000"/>
                <w:sz w:val="32"/>
              </w:rPr>
              <w:t xml:space="preserve">Reczny separator przeplywowy - rotujący - 520x300 mm</w:t>
            </w:r>
            <w:r>
              <w:br/>
            </w:r>
            <w:r>
              <w:br/>
            </w:r>
            <w:r>
              <w:rPr>
                <w:b/>
                <w:color w:val="000000"/>
                <w:sz w:val="24"/>
              </w:rPr>
              <w:t xml:space="preserve">Numer artykułu: SCRB5230021</w:t>
            </w:r>
          </w:p>
        </w:tc>
      </w:tr>
    </w:tbl>
    <w:p>
      <w:pPr>
        <w:bidi w:val="false"/>
        <w:rPr>
          <w:lang w:val="nl"/>
        </w:rPr>
      </w:pPr>
      <w:r>
        <w:br/>
      </w:r>
      <w:r>
        <w:rPr>
          <w:b/>
          <w:sz w:val="32"/>
        </w:rPr>
        <w:t xml:space="preserve">Właściwości</w:t>
      </w:r>
    </w:p>
    <w:tbl>
      <w:tblPr>
        <w:tblStyle w:val="TableGrid"/>
        <w:tblW w:w="5000" w:type="pct"/>
      </w:tblPr>
      <w:tblGrid>
        <w:gridCol/>
        <w:gridCol/>
      </w:tblGrid>
      <w:tr>
        <w:trPr/>
        <w:tc>
          <w:tcPr>
            <w:shd w:val="clear" w:color="auto" w:fill="F4F5F5"/>
            <w:vAlign w:val="center"/>
          </w:tcPr>
          <w:p>
            <w:r>
              <w:rPr>
                <w:b/>
                <w:sz w:val="18"/>
                <w:shd w:val="clear" w:fill="F4F5F5"/>
              </w:rPr>
              <w:t xml:space="preserve">Opis</w:t>
            </w:r>
          </w:p>
        </w:tc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Reczny separator przeplywowy - rotujący - 520x300 mm</w:t>
            </w:r>
          </w:p>
        </w:tc>
      </w:tr>
      <w:tr>
        <w:trPr/>
        <w:tc>
          <w:tcPr>
            <w:vAlign w:val="center"/>
          </w:tcPr>
          <w:p>
            <w:r>
              <w:rPr>
                <w:b/>
                <w:sz w:val="18"/>
              </w:rPr>
              <w:t xml:space="preserve">Numer artykułu</w:t>
            </w:r>
          </w:p>
        </w:tc>
        <w:tc>
          <w:tcPr>
            <w:vAlign w:val="center"/>
          </w:tcPr>
          <w:p>
            <w:r>
              <w:rPr>
                <w:sz w:val="18"/>
              </w:rPr>
              <w:t xml:space="preserve">SCRB5230021</w:t>
            </w:r>
          </w:p>
        </w:tc>
      </w:tr>
      <w:tr>
        <w:trPr/>
        <w:tc>
          <w:tcPr>
            <w:vAlign w:val="center"/>
          </w:tcPr>
          <w:p>
            <w:r>
              <w:rPr>
                <w:b/>
                <w:sz w:val="18"/>
              </w:rPr>
              <w:t xml:space="preserve">Klucz produktu</w:t>
            </w:r>
          </w:p>
        </w:tc>
        <w:tc>
          <w:tcPr>
            <w:vAlign w:val="center"/>
          </w:tcPr>
          <w:p>
            <w:r>
              <w:rPr>
                <w:sz w:val="18"/>
              </w:rPr>
              <w:t xml:space="preserve">SECR-B-5230-24E-N-NA-F5m-B-B</w:t>
            </w:r>
          </w:p>
        </w:tc>
      </w:tr>
      <w:tr>
        <w:trPr/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Suitable for food production</w:t>
            </w:r>
          </w:p>
        </w:tc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Yes                </w:t>
            </w:r>
          </w:p>
        </w:tc>
      </w:tr>
      <w:tr>
        <w:trPr/>
        <w:tc>
          <w:tcPr>
            <w:vAlign w:val="center"/>
          </w:tcPr>
          <w:p>
            <w:r>
              <w:rPr>
                <w:sz w:val="18"/>
              </w:rPr>
              <w:t xml:space="preserve">Max. particle size</w:t>
            </w:r>
          </w:p>
        </w:tc>
        <w:tc>
          <w:tcPr>
            <w:vAlign w:val="center"/>
          </w:tcPr>
          <w:p>
            <w:r>
              <w:rPr>
                <w:sz w:val="18"/>
              </w:rPr>
              <w:t xml:space="preserve">10 mm                </w:t>
            </w:r>
          </w:p>
        </w:tc>
      </w:tr>
      <w:tr>
        <w:trPr/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Min. Fe-particle size that can be caught</w:t>
            </w:r>
          </w:p>
        </w:tc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0,03 mm                </w:t>
            </w:r>
          </w:p>
        </w:tc>
      </w:tr>
      <w:tr>
        <w:trPr/>
        <w:tc>
          <w:tcPr>
            <w:vAlign w:val="center"/>
          </w:tcPr>
          <w:p>
            <w:r>
              <w:rPr>
                <w:sz w:val="18"/>
              </w:rPr>
              <w:t xml:space="preserve">Production stop required during ferrous particles disposal</w:t>
            </w:r>
          </w:p>
        </w:tc>
        <w:tc>
          <w:tcPr>
            <w:vAlign w:val="center"/>
          </w:tcPr>
          <w:p>
            <w:r>
              <w:rPr>
                <w:sz w:val="18"/>
              </w:rPr>
              <w:t xml:space="preserve">Yes                </w:t>
            </w:r>
          </w:p>
        </w:tc>
      </w:tr>
      <w:tr>
        <w:trPr/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Cleaning (ferrous particles disposal) method</w:t>
            </w:r>
          </w:p>
        </w:tc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Manual                </w:t>
            </w:r>
          </w:p>
        </w:tc>
      </w:tr>
      <w:tr>
        <w:trPr/>
        <w:tc>
          <w:tcPr>
            <w:vAlign w:val="center"/>
          </w:tcPr>
          <w:p>
            <w:r>
              <w:rPr>
                <w:sz w:val="18"/>
              </w:rPr>
              <w:t xml:space="preserve">Ferrous particles disposal via</w:t>
            </w:r>
          </w:p>
        </w:tc>
        <w:tc>
          <w:tcPr>
            <w:vAlign w:val="center"/>
          </w:tcPr>
          <w:p>
            <w:r>
              <w:rPr>
                <w:sz w:val="18"/>
              </w:rPr>
              <w:t xml:space="preserve">Manually taking out magnets + pulling them out of extractor                </w:t>
            </w:r>
          </w:p>
        </w:tc>
      </w:tr>
      <w:tr>
        <w:trPr/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Build-in length</w:t>
            </w:r>
          </w:p>
        </w:tc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300 mm                </w:t>
            </w:r>
          </w:p>
        </w:tc>
      </w:tr>
      <w:tr>
        <w:trPr/>
        <w:tc>
          <w:tcPr>
            <w:vAlign w:val="center"/>
          </w:tcPr>
          <w:p>
            <w:r>
              <w:rPr>
                <w:sz w:val="18"/>
              </w:rPr>
              <w:t xml:space="preserve">Inlet shape</w:t>
            </w:r>
          </w:p>
        </w:tc>
        <w:tc>
          <w:tcPr>
            <w:vAlign w:val="center"/>
          </w:tcPr>
          <w:p>
            <w:r>
              <w:rPr>
                <w:sz w:val="18"/>
              </w:rPr>
              <w:t xml:space="preserve">Rectangular                </w:t>
            </w:r>
          </w:p>
        </w:tc>
      </w:tr>
      <w:tr>
        <w:trPr/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Outlet shape</w:t>
            </w:r>
          </w:p>
        </w:tc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Rectangular                </w:t>
            </w:r>
          </w:p>
        </w:tc>
      </w:tr>
      <w:tr>
        <w:trPr/>
        <w:tc>
          <w:tcPr>
            <w:vAlign w:val="center"/>
          </w:tcPr>
          <w:p>
            <w:r>
              <w:rPr>
                <w:sz w:val="18"/>
              </w:rPr>
              <w:t xml:space="preserve">Product inlet size</w:t>
            </w:r>
          </w:p>
        </w:tc>
        <w:tc>
          <w:tcPr>
            <w:vAlign w:val="center"/>
          </w:tcPr>
          <w:p>
            <w:r>
              <w:rPr>
                <w:sz w:val="18"/>
              </w:rPr>
              <w:t xml:space="preserve">520x300 mm                </w:t>
            </w:r>
          </w:p>
        </w:tc>
      </w:tr>
      <w:tr>
        <w:trPr/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Product outlet size</w:t>
            </w:r>
          </w:p>
        </w:tc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520x300 mm                </w:t>
            </w:r>
          </w:p>
        </w:tc>
      </w:tr>
      <w:tr>
        <w:trPr/>
        <w:tc>
          <w:tcPr>
            <w:vAlign w:val="center"/>
          </w:tcPr>
          <w:p>
            <w:r>
              <w:rPr>
                <w:sz w:val="18"/>
              </w:rPr>
              <w:t xml:space="preserve">Interface connection type/size</w:t>
            </w:r>
          </w:p>
        </w:tc>
        <w:tc>
          <w:tcPr>
            <w:vAlign w:val="center"/>
          </w:tcPr>
          <w:p>
            <w:r>
              <w:rPr>
                <w:sz w:val="18"/>
              </w:rPr>
              <w:t xml:space="preserve">Rectangular flanges with hole pattern acc. to drawing                </w:t>
            </w:r>
          </w:p>
        </w:tc>
      </w:tr>
      <w:tr>
        <w:trPr/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Electrical connection</w:t>
            </w:r>
          </w:p>
        </w:tc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To connection box                </w:t>
            </w:r>
          </w:p>
        </w:tc>
      </w:tr>
      <w:tr>
        <w:trPr/>
        <w:tc>
          <w:tcPr>
            <w:vAlign w:val="center"/>
          </w:tcPr>
          <w:p>
            <w:r>
              <w:rPr>
                <w:sz w:val="18"/>
              </w:rPr>
              <w:t xml:space="preserve">Max. capacity</w:t>
            </w:r>
          </w:p>
        </w:tc>
        <w:tc>
          <w:tcPr>
            <w:vAlign w:val="center"/>
          </w:tcPr>
          <w:p>
            <w:r>
              <w:rPr>
                <w:sz w:val="18"/>
              </w:rPr>
              <w:t xml:space="preserve">36 m³/h                </w:t>
            </w:r>
          </w:p>
        </w:tc>
      </w:tr>
      <w:tr>
        <w:trPr/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Version housing</w:t>
            </w:r>
          </w:p>
        </w:tc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Welded                </w:t>
            </w:r>
          </w:p>
        </w:tc>
      </w:tr>
      <w:tr>
        <w:trPr/>
        <w:tc>
          <w:tcPr>
            <w:vAlign w:val="center"/>
          </w:tcPr>
          <w:p>
            <w:r>
              <w:rPr>
                <w:sz w:val="18"/>
              </w:rPr>
              <w:t xml:space="preserve">Number of magnetic rotors</w:t>
            </w:r>
          </w:p>
        </w:tc>
        <w:tc>
          <w:tcPr>
            <w:vAlign w:val="center"/>
          </w:tcPr>
          <w:p>
            <w:r>
              <w:rPr>
                <w:sz w:val="18"/>
              </w:rPr>
              <w:t xml:space="preserve">2                </w:t>
            </w:r>
          </w:p>
        </w:tc>
      </w:tr>
      <w:tr>
        <w:trPr/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Materials in contact with product</w:t>
            </w:r>
          </w:p>
        </w:tc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AISI316 (SS 1.4401) / AISI316L (SS 1.4404)                </w:t>
            </w:r>
          </w:p>
        </w:tc>
      </w:tr>
      <w:tr>
        <w:trPr/>
        <w:tc>
          <w:tcPr>
            <w:vAlign w:val="center"/>
          </w:tcPr>
          <w:p>
            <w:r>
              <w:rPr>
                <w:sz w:val="18"/>
              </w:rPr>
              <w:t xml:space="preserve">Material seal between housing and door/magnet unit</w:t>
            </w:r>
          </w:p>
        </w:tc>
        <w:tc>
          <w:tcPr>
            <w:vAlign w:val="center"/>
          </w:tcPr>
          <w:p>
            <w:r>
              <w:rPr>
                <w:sz w:val="18"/>
              </w:rPr>
              <w:t xml:space="preserve">Silicone VMQ, 40° Shore, EC1935/FDA, red                </w:t>
            </w:r>
          </w:p>
        </w:tc>
      </w:tr>
      <w:tr>
        <w:trPr/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Motor oil: food grade</w:t>
            </w:r>
          </w:p>
        </w:tc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Yes                </w:t>
            </w:r>
          </w:p>
        </w:tc>
      </w:tr>
      <w:tr>
        <w:trPr/>
        <w:tc>
          <w:tcPr>
            <w:vAlign w:val="center"/>
          </w:tcPr>
          <w:p>
            <w:r>
              <w:rPr>
                <w:sz w:val="18"/>
              </w:rPr>
              <w:t xml:space="preserve">Surface finishing (interior/exterior)</w:t>
            </w:r>
          </w:p>
        </w:tc>
        <w:tc>
          <w:tcPr>
            <w:vAlign w:val="center"/>
          </w:tcPr>
          <w:p>
            <w:r>
              <w:rPr>
                <w:sz w:val="18"/>
              </w:rPr>
              <w:t xml:space="preserve">S5: Vibratory polished, Ra 0,4 µm, ex. welds and end faces                </w:t>
            </w:r>
          </w:p>
        </w:tc>
      </w:tr>
      <w:tr>
        <w:trPr/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Extra wear-resistant coating</w:t>
            </w:r>
          </w:p>
        </w:tc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No                </w:t>
            </w:r>
          </w:p>
        </w:tc>
      </w:tr>
      <w:tr>
        <w:trPr/>
        <w:tc>
          <w:tcPr>
            <w:vAlign w:val="center"/>
          </w:tcPr>
          <w:p>
            <w:r>
              <w:rPr>
                <w:sz w:val="18"/>
              </w:rPr>
              <w:t xml:space="preserve">Welds inside the product channel</w:t>
            </w:r>
          </w:p>
        </w:tc>
        <w:tc>
          <w:tcPr>
            <w:vAlign w:val="center"/>
          </w:tcPr>
          <w:p>
            <w:r>
              <w:rPr>
                <w:sz w:val="18"/>
              </w:rPr>
              <w:t xml:space="preserve">Wm: Continuously welded                </w:t>
            </w:r>
          </w:p>
        </w:tc>
      </w:tr>
      <w:tr>
        <w:trPr/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Welds outside the product channel</w:t>
            </w:r>
          </w:p>
        </w:tc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Wm: Continuously welded where possible                </w:t>
            </w:r>
          </w:p>
        </w:tc>
      </w:tr>
      <w:tr>
        <w:trPr/>
        <w:tc>
          <w:tcPr>
            <w:vAlign w:val="center"/>
          </w:tcPr>
          <w:p>
            <w:r>
              <w:rPr>
                <w:sz w:val="18"/>
              </w:rPr>
              <w:t xml:space="preserve">Max. operating temperature</w:t>
            </w:r>
          </w:p>
        </w:tc>
        <w:tc>
          <w:tcPr>
            <w:vAlign w:val="center"/>
          </w:tcPr>
          <w:p>
            <w:r>
              <w:rPr>
                <w:sz w:val="18"/>
              </w:rPr>
              <w:t xml:space="preserve">60 °C                </w:t>
            </w:r>
          </w:p>
        </w:tc>
      </w:tr>
      <w:tr>
        <w:trPr/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Min./max. ambient temperature</w:t>
            </w:r>
          </w:p>
        </w:tc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-20 to 40 °C                </w:t>
            </w:r>
          </w:p>
        </w:tc>
      </w:tr>
      <w:tr>
        <w:trPr/>
        <w:tc>
          <w:tcPr>
            <w:vAlign w:val="center"/>
          </w:tcPr>
          <w:p>
            <w:r>
              <w:rPr>
                <w:sz w:val="18"/>
              </w:rPr>
              <w:t xml:space="preserve">ATEX marking</w:t>
            </w:r>
          </w:p>
        </w:tc>
        <w:tc>
          <w:tcPr>
            <w:vAlign w:val="center"/>
          </w:tcPr>
          <w:p>
            <w:r>
              <w:rPr>
                <w:sz w:val="18"/>
              </w:rPr>
              <w:t xml:space="preserve">-                </w:t>
            </w:r>
          </w:p>
        </w:tc>
      </w:tr>
      <w:tr>
        <w:trPr/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Magnetic system</w:t>
            </w:r>
          </w:p>
        </w:tc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Magnetic bar in extractor tube                </w:t>
            </w:r>
          </w:p>
        </w:tc>
      </w:tr>
      <w:tr>
        <w:trPr/>
        <w:tc>
          <w:tcPr>
            <w:vAlign w:val="center"/>
          </w:tcPr>
          <w:p>
            <w:r>
              <w:rPr>
                <w:sz w:val="18"/>
              </w:rPr>
              <w:t xml:space="preserve">Magnet quality</w:t>
            </w:r>
          </w:p>
        </w:tc>
        <w:tc>
          <w:tcPr>
            <w:vAlign w:val="center"/>
          </w:tcPr>
          <w:p>
            <w:r>
              <w:rPr>
                <w:sz w:val="18"/>
              </w:rPr>
              <w:t xml:space="preserve">Neodymium N-42                </w:t>
            </w:r>
          </w:p>
        </w:tc>
      </w:tr>
      <w:tr>
        <w:trPr/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Magnetic bars position / behaviour during production</w:t>
            </w:r>
          </w:p>
        </w:tc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Rotating, magnetic bars placed in 2 rotors                </w:t>
            </w:r>
          </w:p>
        </w:tc>
      </w:tr>
      <w:tr>
        <w:trPr/>
        <w:tc>
          <w:tcPr>
            <w:vAlign w:val="center"/>
          </w:tcPr>
          <w:p>
            <w:r>
              <w:rPr>
                <w:sz w:val="18"/>
              </w:rPr>
              <w:t xml:space="preserve">Magnetic bar size</w:t>
            </w:r>
          </w:p>
        </w:tc>
        <w:tc>
          <w:tcPr>
            <w:vAlign w:val="center"/>
          </w:tcPr>
          <w:p>
            <w:r>
              <w:rPr>
                <w:sz w:val="18"/>
              </w:rPr>
              <w:t xml:space="preserve">Extractor tube Ø25 mm; magnetic bar Ø23 mm                </w:t>
            </w:r>
          </w:p>
        </w:tc>
      </w:tr>
      <w:tr>
        <w:trPr/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Number of magnetic bars</w:t>
            </w:r>
          </w:p>
        </w:tc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2x12                </w:t>
            </w:r>
          </w:p>
        </w:tc>
      </w:tr>
      <w:tr>
        <w:trPr/>
        <w:tc>
          <w:tcPr>
            <w:vAlign w:val="center"/>
          </w:tcPr>
          <w:p>
            <w:r>
              <w:rPr>
                <w:sz w:val="18"/>
              </w:rPr>
              <w:t xml:space="preserve">Flux density on (internal) magnetic bar (±10%)</w:t>
            </w:r>
          </w:p>
        </w:tc>
        <w:tc>
          <w:tcPr>
            <w:vAlign w:val="center"/>
          </w:tcPr>
          <w:p>
            <w:r>
              <w:rPr>
                <w:sz w:val="18"/>
              </w:rPr>
              <w:t xml:space="preserve">10700 gauss                </w:t>
            </w:r>
          </w:p>
        </w:tc>
      </w:tr>
      <w:tr>
        <w:trPr/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Flux density on magnet tube in contact with product (±10%)</w:t>
            </w:r>
          </w:p>
        </w:tc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8000 gauss                </w:t>
            </w:r>
          </w:p>
        </w:tc>
      </w:tr>
      <w:tr>
        <w:trPr/>
        <w:tc>
          <w:tcPr>
            <w:vAlign w:val="center"/>
          </w:tcPr>
          <w:p>
            <w:r>
              <w:rPr>
                <w:sz w:val="18"/>
              </w:rPr>
              <w:t xml:space="preserve">Motor drive</w:t>
            </w:r>
          </w:p>
        </w:tc>
        <w:tc>
          <w:tcPr>
            <w:vAlign w:val="center"/>
          </w:tcPr>
          <w:p>
            <w:r>
              <w:rPr>
                <w:sz w:val="18"/>
              </w:rPr>
              <w:t xml:space="preserve">SEW electro motor with gear box                </w:t>
            </w:r>
          </w:p>
        </w:tc>
      </w:tr>
      <w:tr>
        <w:trPr/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Motor power</w:t>
            </w:r>
          </w:p>
        </w:tc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0,37 kW                </w:t>
            </w:r>
          </w:p>
        </w:tc>
      </w:tr>
      <w:tr>
        <w:trPr/>
        <w:tc>
          <w:tcPr>
            <w:vAlign w:val="center"/>
          </w:tcPr>
          <w:p>
            <w:r>
              <w:rPr>
                <w:sz w:val="18"/>
              </w:rPr>
              <w:t xml:space="preserve">Motor current</w:t>
            </w:r>
          </w:p>
        </w:tc>
        <w:tc>
          <w:tcPr>
            <w:vAlign w:val="center"/>
          </w:tcPr>
          <w:p>
            <w:r>
              <w:rPr>
                <w:sz w:val="18"/>
              </w:rPr>
              <w:t xml:space="preserve">1,82 (Δ) / 1,05  (Y) A                </w:t>
            </w:r>
          </w:p>
        </w:tc>
      </w:tr>
      <w:tr>
        <w:trPr/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Motor frequency</w:t>
            </w:r>
          </w:p>
        </w:tc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50/60 Hz                </w:t>
            </w:r>
          </w:p>
        </w:tc>
      </w:tr>
      <w:tr>
        <w:trPr/>
        <w:tc>
          <w:tcPr>
            <w:vAlign w:val="center"/>
          </w:tcPr>
          <w:p>
            <w:r>
              <w:rPr>
                <w:sz w:val="18"/>
              </w:rPr>
              <w:t xml:space="preserve">Motor voltage</w:t>
            </w:r>
          </w:p>
        </w:tc>
        <w:tc>
          <w:tcPr>
            <w:vAlign w:val="center"/>
          </w:tcPr>
          <w:p>
            <w:r>
              <w:rPr>
                <w:sz w:val="18"/>
              </w:rPr>
              <w:t xml:space="preserve">230 (Δ) / 400 (Y) V AC                </w:t>
            </w:r>
          </w:p>
        </w:tc>
      </w:tr>
      <w:tr>
        <w:trPr/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Motor rotational speed (out)</w:t>
            </w:r>
          </w:p>
        </w:tc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36 rpm                </w:t>
            </w:r>
          </w:p>
        </w:tc>
      </w:tr>
      <w:tr>
        <w:trPr/>
        <w:tc>
          <w:tcPr>
            <w:vAlign w:val="center"/>
          </w:tcPr>
          <w:p>
            <w:r>
              <w:rPr>
                <w:sz w:val="18"/>
              </w:rPr>
              <w:t xml:space="preserve">Motor dust/water protection class</w:t>
            </w:r>
          </w:p>
        </w:tc>
        <w:tc>
          <w:tcPr>
            <w:vAlign w:val="center"/>
          </w:tcPr>
          <w:p>
            <w:r>
              <w:rPr>
                <w:sz w:val="18"/>
              </w:rPr>
              <w:t xml:space="preserve">IP65                </w:t>
            </w:r>
          </w:p>
        </w:tc>
      </w:tr>
      <w:tr>
        <w:trPr/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Incl. double seal with air purging on shaft (max. 0.1 bar)</w:t>
            </w:r>
          </w:p>
        </w:tc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Yes                </w:t>
            </w:r>
          </w:p>
        </w:tc>
      </w:tr>
      <w:tr>
        <w:trPr/>
        <w:tc>
          <w:tcPr>
            <w:vAlign w:val="center"/>
          </w:tcPr>
          <w:p>
            <w:r>
              <w:rPr>
                <w:sz w:val="18"/>
              </w:rPr>
              <w:t xml:space="preserve">Incl. all bars magnet in/out sensoring</w:t>
            </w:r>
          </w:p>
        </w:tc>
        <w:tc>
          <w:tcPr>
            <w:vAlign w:val="center"/>
          </w:tcPr>
          <w:p>
            <w:r>
              <w:rPr>
                <w:sz w:val="18"/>
              </w:rPr>
              <w:t xml:space="preserve">No                </w:t>
            </w:r>
          </w:p>
        </w:tc>
      </w:tr>
      <w:tr>
        <w:trPr/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Safety device between housing and door/magnet unit</w:t>
            </w:r>
          </w:p>
        </w:tc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Switch (key type, Steute AZ16-zvk, Ex II 2GD)                </w:t>
            </w:r>
          </w:p>
        </w:tc>
      </w:tr>
      <w:tr>
        <w:trPr/>
        <w:tc>
          <w:tcPr>
            <w:vAlign w:val="center"/>
          </w:tcPr>
          <w:p>
            <w:r>
              <w:rPr>
                <w:sz w:val="18"/>
              </w:rPr>
              <w:t xml:space="preserve">Potential-free contact for ‘door closed’ signal</w:t>
            </w:r>
          </w:p>
        </w:tc>
        <w:tc>
          <w:tcPr>
            <w:vAlign w:val="center"/>
          </w:tcPr>
          <w:p>
            <w:r>
              <w:rPr>
                <w:sz w:val="18"/>
              </w:rPr>
              <w:t xml:space="preserve">250 V AC max., 230 V DC max.                </w:t>
            </w:r>
          </w:p>
        </w:tc>
      </w:tr>
      <w:tr>
        <w:trPr/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Potential-free contact for ‘motor on’ signal</w:t>
            </w:r>
          </w:p>
        </w:tc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600 V AC max., 250 V DC max.                </w:t>
            </w:r>
          </w:p>
        </w:tc>
      </w:tr>
      <w:tr>
        <w:trPr/>
        <w:tc>
          <w:tcPr>
            <w:vAlign w:val="center"/>
          </w:tcPr>
          <w:p>
            <w:r>
              <w:rPr>
                <w:sz w:val="18"/>
              </w:rPr>
              <w:t xml:space="preserve">Length</w:t>
            </w:r>
          </w:p>
        </w:tc>
        <w:tc>
          <w:tcPr>
            <w:vAlign w:val="center"/>
          </w:tcPr>
          <w:p>
            <w:r>
              <w:rPr>
                <w:sz w:val="18"/>
              </w:rPr>
              <w:t xml:space="preserve">636 mm                </w:t>
            </w:r>
          </w:p>
        </w:tc>
      </w:tr>
      <w:tr>
        <w:trPr/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Width</w:t>
            </w:r>
          </w:p>
        </w:tc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808 mm                </w:t>
            </w:r>
          </w:p>
        </w:tc>
      </w:tr>
      <w:tr>
        <w:trPr/>
        <w:tc>
          <w:tcPr>
            <w:vAlign w:val="center"/>
          </w:tcPr>
          <w:p>
            <w:r>
              <w:rPr>
                <w:sz w:val="18"/>
              </w:rPr>
              <w:t xml:space="preserve">Height</w:t>
            </w:r>
          </w:p>
        </w:tc>
        <w:tc>
          <w:tcPr>
            <w:vAlign w:val="center"/>
          </w:tcPr>
          <w:p>
            <w:r>
              <w:rPr>
                <w:sz w:val="18"/>
              </w:rPr>
              <w:t xml:space="preserve">300 mm                </w:t>
            </w:r>
          </w:p>
        </w:tc>
      </w:tr>
      <w:tr>
        <w:trPr/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Weight</w:t>
            </w:r>
          </w:p>
        </w:tc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120 kg                </w:t>
            </w:r>
          </w:p>
        </w:tc>
      </w:tr>
    </w:tbl>
    <w:sectPr w:rsidRPr="00C71B9E" w:rsidR="5363F69E" w:rsidSect="00833745">
      <w:headerReference w:type="default" r:id="rId11"/>
      <w:footerReference w:type="default" r:id="rId12"/>
      <w:headerReference w:type="first" r:id="rId13"/>
      <w:footerReference w:type="first" r:id="rId14"/>
      <w:pgSz w:w="11906" w:h="16838"/>
      <w:pgMar w:top="1440" w:right="1080" w:bottom="1440" w:left="1080" w:header="708" w:footer="283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145D945A" w14:textId="77777777" w:rsidR="00F543B7" w:rsidRDefault="00F543B7" w:rsidP="006A1028">
      <w:pPr>
        <w:spacing w:after="0" w:line="240" w:lineRule="auto"/>
      </w:pPr>
      <w:r>
        <w:separator/>
      </w:r>
    </w:p>
  </w:endnote>
  <w:endnote w:type="continuationSeparator" w:id="0">
    <w:p w14:paraId="58A7744F" w14:textId="77777777" w:rsidR="00F543B7" w:rsidRDefault="00F543B7" w:rsidP="006A1028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Angsana New">
    <w:panose1 w:val="02020603050405020304"/>
    <w:charset w:val="DE"/>
    <w:family w:val="roman"/>
    <w:pitch w:val="variable"/>
    <w:sig w:usb0="81000003" w:usb1="00000000" w:usb2="00000000" w:usb3="00000000" w:csb0="00010001" w:csb1="00000000"/>
  </w:font>
  <w:font w:name="Graphik Wide Semibold">
    <w:altName w:val="Calibri"/>
    <w:panose1 w:val="00000000000000000000"/>
    <w:charset w:val="00"/>
    <w:family w:val="modern"/>
    <w:notTrueType/>
    <w:pitch w:val="variable"/>
    <w:sig w:usb0="A000002F" w:usb1="5000045A" w:usb2="00000000" w:usb3="00000000" w:csb0="00000093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sdt>
    <w:sdtPr>
      <w:id w:val="316235659"/>
      <w:docPartObj>
        <w:docPartGallery w:val="Page Numbers (Bottom of Page)"/>
        <w:docPartUnique/>
      </w:docPartObj>
    </w:sdtPr>
    <w:sdtEndPr/>
    <w:sdtContent>
      <w:p w14:paraId="7B21036F" w14:textId="2B11D45E" w:rsidR="00880105" w:rsidRPr="00833745" w:rsidRDefault="004C6CAC" w:rsidP="00833745">
        <w:pPr>
          <w:pStyle w:val="Voettekst"/>
          <w:jc w:val="right"/>
          <w:rPr>
            <w:lang w:val="en-US"/>
          </w:rPr>
        </w:pPr>
        <w:r w:rsidRPr="00833745">
          <w:rPr>
            <w:noProof/>
          </w:rPr>
          <mc:AlternateContent>
            <mc:Choice Requires="wps">
              <w:drawing>
                <wp:anchor distT="0" distB="0" distL="114300" distR="114300" simplePos="0" relativeHeight="251666431" behindDoc="0" locked="0" layoutInCell="1" allowOverlap="1" wp14:anchorId="1D923A44" wp14:editId="0DD209D0">
                  <wp:simplePos x="0" y="0"/>
                  <wp:positionH relativeFrom="margin">
                    <wp:align>center</wp:align>
                  </wp:positionH>
                  <wp:positionV relativeFrom="paragraph">
                    <wp:posOffset>-179705</wp:posOffset>
                  </wp:positionV>
                  <wp:extent cx="6264000" cy="0"/>
                  <wp:effectExtent l="0" t="0" r="0" b="0"/>
                  <wp:wrapNone/>
                  <wp:docPr id="3" name="Rechte verbindingslijn 3"/>
                  <wp:cNvGraphicFramePr/>
                  <a:graphic xmlns:a="http://schemas.openxmlformats.org/drawingml/2006/main">
                    <a:graphicData uri="http://schemas.microsoft.com/office/word/2010/wordprocessingShape">
                      <wps:wsp>
                        <wps:cNvCnPr/>
                        <wps:spPr>
                          <a:xfrm>
                            <a:off x="0" y="0"/>
                            <a:ext cx="6264000" cy="0"/>
                          </a:xfrm>
                          <a:prstGeom prst="line">
                            <a:avLst/>
                          </a:prstGeom>
                        </wps:spPr>
                        <wps:style>
                          <a:lnRef idx="1">
                            <a:schemeClr val="accent1"/>
                          </a:lnRef>
                          <a:fillRef idx="0">
                            <a:schemeClr val="accent1"/>
                          </a:fillRef>
                          <a:effectRef idx="0">
                            <a:schemeClr val="accent1"/>
                          </a:effectRef>
                          <a:fontRef idx="minor">
                            <a:schemeClr val="tx1"/>
                          </a:fontRef>
                        </wps:style>
                        <wps:bodyPr/>
                      </wps:wsp>
                    </a:graphicData>
                  </a:graphic>
                  <wp14:sizeRelH relativeFrom="margin">
                    <wp14:pctWidth>0</wp14:pctWidth>
                  </wp14:sizeRelH>
                </wp:anchor>
              </w:drawing>
            </mc:Choice>
            <mc:Fallback xmlns:a="http://schemas.openxmlformats.org/drawingml/2006/main">
              <w:pict>
                <v:line id="Rechte verbindingslijn 3" style="position:absolute;z-index:251666431;visibility:visible;mso-wrap-style:square;mso-width-percent:0;mso-wrap-distance-left:9pt;mso-wrap-distance-top:0;mso-wrap-distance-right:9pt;mso-wrap-distance-bottom:0;mso-position-horizontal:center;mso-position-horizontal-relative:margin;mso-position-vertical:absolute;mso-position-vertical-relative:text;mso-width-percent:0;mso-width-relative:margin" o:spid="_x0000_s1026" strokecolor="#0048cc [3204]" strokeweight=".5pt" from="0,-14.15pt" to="493.25pt,-14.15pt" w14:anchorId="3C1C1649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">
                  <v:stroke joinstyle="miter"/>
                  <w10:wrap anchorx="margin"/>
                </v:line>
              </w:pict>
            </mc:Fallback>
          </mc:AlternateContent>
        </w:r>
        <w:hyperlink r:id="rId1" w:history="1">
          <w:r w:rsidR="00833745" w:rsidRPr="00833745">
            <w:rPr>
              <w:rStyle w:val="Hyperlink"/>
              <w:noProof/>
              <w:u w:val="none"/>
              <w:lang w:val="en-US"/>
            </w:rPr>
            <w:t>www.goudsmitmagnetics.com</w:t>
          </w:r>
        </w:hyperlink>
        <w:r w:rsidR="00880105" w:rsidRPr="00833745">
          <w:rPr>
            <w:lang w:val="en-US"/>
          </w:rPr>
          <w:tab/>
        </w:r>
        <w:r w:rsidR="00880105" w:rsidRPr="00833745">
          <w:rPr>
            <w:lang w:val="en-US"/>
          </w:rPr>
          <w:tab/>
        </w:r>
        <w:r w:rsidR="00880105" w:rsidRPr="00833745">
          <w:rPr>
            <w:lang w:val="en-US"/>
          </w:rPr>
          <w:tab/>
        </w:r>
        <w:r w:rsidR="00833745" w:rsidRPr="00833745">
          <w:rPr>
            <w:lang w:val="en-US"/>
          </w:rPr>
          <w:t xml:space="preserve">Page </w:t>
        </w:r>
        <w:r w:rsidR="00833745">
          <w:rPr>
            <w:b/>
            <w:bCs/>
          </w:rPr>
          <w:fldChar w:fldCharType="begin"/>
        </w:r>
        <w:r w:rsidR="00833745" w:rsidRPr="00833745">
          <w:rPr>
            <w:b/>
            <w:bCs/>
            <w:lang w:val="en-US"/>
          </w:rPr>
          <w:instrText>PAGE  \* Arabic  \* MERGEFORMAT</w:instrText>
        </w:r>
        <w:r w:rsidR="00833745">
          <w:rPr>
            <w:b/>
            <w:bCs/>
          </w:rPr>
          <w:fldChar w:fldCharType="separate"/>
        </w:r>
        <w:r w:rsidR="00833745" w:rsidRPr="00833745">
          <w:rPr>
            <w:b/>
            <w:bCs/>
            <w:lang w:val="en-US"/>
          </w:rPr>
          <w:t>1</w:t>
        </w:r>
        <w:r w:rsidR="00833745">
          <w:rPr>
            <w:b/>
            <w:bCs/>
          </w:rPr>
          <w:fldChar w:fldCharType="end"/>
        </w:r>
        <w:r w:rsidR="00833745" w:rsidRPr="00833745">
          <w:rPr>
            <w:lang w:val="en-US"/>
          </w:rPr>
          <w:t xml:space="preserve"> o</w:t>
        </w:r>
        <w:r w:rsidR="00833745">
          <w:rPr>
            <w:lang w:val="en-US"/>
          </w:rPr>
          <w:t>f</w:t>
        </w:r>
        <w:r w:rsidR="00833745" w:rsidRPr="00833745">
          <w:rPr>
            <w:lang w:val="en-US"/>
          </w:rPr>
          <w:t xml:space="preserve"> </w:t>
        </w:r>
        <w:r w:rsidR="00833745">
          <w:rPr>
            <w:b/>
            <w:bCs/>
          </w:rPr>
          <w:fldChar w:fldCharType="begin"/>
        </w:r>
        <w:r w:rsidR="00833745" w:rsidRPr="00833745">
          <w:rPr>
            <w:b/>
            <w:bCs/>
            <w:lang w:val="en-US"/>
          </w:rPr>
          <w:instrText>NUMPAGES  \* Arabic  \* MERGEFORMAT</w:instrText>
        </w:r>
        <w:r w:rsidR="00833745">
          <w:rPr>
            <w:b/>
            <w:bCs/>
          </w:rPr>
          <w:fldChar w:fldCharType="separate"/>
        </w:r>
        <w:r w:rsidR="00833745" w:rsidRPr="00833745">
          <w:rPr>
            <w:b/>
            <w:bCs/>
            <w:lang w:val="en-US"/>
          </w:rPr>
          <w:t>2</w:t>
        </w:r>
        <w:r w:rsidR="00833745">
          <w:rPr>
            <w:b/>
            <w:bCs/>
          </w:rPr>
          <w:fldChar w:fldCharType="end"/>
        </w:r>
      </w:p>
    </w:sdtContent>
  </w:sdt>
  <w:p w14:paraId="3C8DBDCC" w14:textId="77777777" w:rsidR="0009754F" w:rsidRPr="00833745" w:rsidRDefault="0009754F">
    <w:pPr>
      <w:pStyle w:val="Voettekst"/>
      <w:rPr>
        <w:lang w:val="en-US"/>
      </w:rPr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2BDE0AF2" w14:textId="508B1A02" w:rsidR="006A1028" w:rsidRDefault="002E4DAA" w:rsidP="00C71B9E">
    <w:pPr>
      <w:pStyle w:val="Voettekst"/>
      <w:jc w:val="center"/>
    </w:pPr>
    <w:r>
      <w:rPr>
        <w:noProof/>
      </w:rPr>
      <mc:AlternateContent>
        <mc:Choice Requires="wps">
          <w:drawing>
            <wp:anchor distT="0" distB="0" distL="114300" distR="114300" simplePos="0" relativeHeight="251673599" behindDoc="0" locked="0" layoutInCell="1" allowOverlap="1" wp14:anchorId="3F27D27C" wp14:editId="5430708E">
              <wp:simplePos x="0" y="0"/>
              <wp:positionH relativeFrom="margin">
                <wp:posOffset>-52096</wp:posOffset>
              </wp:positionH>
              <wp:positionV relativeFrom="paragraph">
                <wp:posOffset>-254431</wp:posOffset>
              </wp:positionV>
              <wp:extent cx="6263640" cy="0"/>
              <wp:effectExtent l="0" t="0" r="0" b="0"/>
              <wp:wrapNone/>
              <wp:docPr id="17" name="Rechte verbindingslijn 17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CnPr/>
                    <wps:spPr>
                      <a:xfrm>
                        <a:off x="0" y="0"/>
                        <a:ext cx="6263640" cy="0"/>
                      </a:xfrm>
                      <a:prstGeom prst="line">
                        <a:avLst/>
                      </a:prstGeom>
                    </wps:spPr>
                    <wps:style>
                      <a:lnRef idx="1">
                        <a:schemeClr val="accent1"/>
                      </a:lnRef>
                      <a:fillRef idx="0">
                        <a:schemeClr val="accent1"/>
                      </a:fillRef>
                      <a:effectRef idx="0">
                        <a:schemeClr val="accent1"/>
                      </a:effectRef>
                      <a:fontRef idx="minor">
                        <a:schemeClr val="tx1"/>
                      </a:fontRef>
                    </wps:style>
                    <wps:bodyPr/>
                  </wps:wsp>
                </a:graphicData>
              </a:graphic>
              <wp14:sizeRelH relativeFrom="margin">
                <wp14:pctWidth>0</wp14:pctWidth>
              </wp14:sizeRelH>
            </wp:anchor>
          </w:drawing>
        </mc:Choice>
        <mc:Fallback>
          <w:pict>
            <v:line w14:anchorId="59B42820" id="Rechte verbindingslijn 17" o:spid="_x0000_s1026" style="position:absolute;z-index:251673599;visibility:visible;mso-wrap-style:square;mso-width-percent:0;mso-wrap-distance-left:9pt;mso-wrap-distance-top:0;mso-wrap-distance-right:9pt;mso-wrap-distance-bottom:0;mso-position-horizontal:absolute;mso-position-horizontal-relative:margin;mso-position-vertical:absolute;mso-position-vertical-relative:text;mso-width-percent:0;mso-width-relative:margin" from="-4.1pt,-20.05pt" to="489.1pt,-20.0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" strokecolor="#0048cc [3204]" strokeweight=".5pt">
              <v:stroke joinstyle="miter"/>
              <w10:wrap anchorx="margin"/>
            </v:line>
          </w:pict>
        </mc:Fallback>
      </mc:AlternateContent>
    </w:r>
    <w:hyperlink r:id="rId1" w:history="1">
      <w:r w:rsidR="00833745" w:rsidRPr="005517F7">
        <w:rPr>
          <w:rStyle w:val="Hyperlink"/>
          <w:noProof/>
        </w:rPr>
        <w:t>www.goudsmitmagnetics.com</w:t>
      </w:r>
    </w:hyperlink>
    <w:r w:rsidR="00833745">
      <w:rPr>
        <w:noProof/>
      </w:rPr>
      <w:tab/>
      <w:t xml:space="preserve">Pagina </w:t>
    </w:r>
    <w:r w:rsidR="00833745" w:rsidRPr="00833745">
      <w:rPr>
        <w:b/>
        <w:bCs/>
        <w:noProof/>
      </w:rPr>
      <w:fldChar w:fldCharType="begin"/>
    </w:r>
    <w:r w:rsidR="00833745" w:rsidRPr="00833745">
      <w:rPr>
        <w:b/>
        <w:bCs/>
        <w:noProof/>
      </w:rPr>
      <w:instrText>PAGE  \* Arabic  \* MERGEFORMAT</w:instrText>
    </w:r>
    <w:r w:rsidR="00833745" w:rsidRPr="00833745">
      <w:rPr>
        <w:b/>
        <w:bCs/>
        <w:noProof/>
      </w:rPr>
      <w:fldChar w:fldCharType="separate"/>
    </w:r>
    <w:r w:rsidR="00833745" w:rsidRPr="00833745">
      <w:rPr>
        <w:b/>
        <w:bCs/>
        <w:noProof/>
      </w:rPr>
      <w:t>1</w:t>
    </w:r>
    <w:r w:rsidR="00833745" w:rsidRPr="00833745">
      <w:rPr>
        <w:b/>
        <w:bCs/>
        <w:noProof/>
      </w:rPr>
      <w:fldChar w:fldCharType="end"/>
    </w:r>
    <w:r w:rsidR="00833745">
      <w:rPr>
        <w:noProof/>
      </w:rPr>
      <w:t xml:space="preserve"> van </w:t>
    </w:r>
    <w:r w:rsidR="00833745" w:rsidRPr="00833745">
      <w:rPr>
        <w:b/>
        <w:bCs/>
        <w:noProof/>
      </w:rPr>
      <w:fldChar w:fldCharType="begin"/>
    </w:r>
    <w:r w:rsidR="00833745" w:rsidRPr="00833745">
      <w:rPr>
        <w:b/>
        <w:bCs/>
        <w:noProof/>
      </w:rPr>
      <w:instrText>NUMPAGES  \* Arabic  \* MERGEFORMAT</w:instrText>
    </w:r>
    <w:r w:rsidR="00833745" w:rsidRPr="00833745">
      <w:rPr>
        <w:b/>
        <w:bCs/>
        <w:noProof/>
      </w:rPr>
      <w:fldChar w:fldCharType="separate"/>
    </w:r>
    <w:r w:rsidR="00833745" w:rsidRPr="00833745">
      <w:rPr>
        <w:b/>
        <w:bCs/>
        <w:noProof/>
      </w:rPr>
      <w:t>2</w:t>
    </w:r>
    <w:r w:rsidR="00833745" w:rsidRPr="00833745">
      <w:rPr>
        <w:b/>
        <w:bCs/>
        <w:noProof/>
      </w:rPr>
      <w:fldChar w:fldCharType="end"/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1702D2B1" w14:textId="77777777" w:rsidR="00F543B7" w:rsidRDefault="00F543B7" w:rsidP="006A1028">
      <w:pPr>
        <w:spacing w:after="0" w:line="240" w:lineRule="auto"/>
      </w:pPr>
      <w:r>
        <w:separator/>
      </w:r>
    </w:p>
  </w:footnote>
  <w:footnote w:type="continuationSeparator" w:id="0">
    <w:p w14:paraId="2371094E" w14:textId="77777777" w:rsidR="00F543B7" w:rsidRDefault="00F543B7" w:rsidP="006A1028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4B81EFFA" w14:textId="77777777" w:rsidR="00880105" w:rsidRDefault="00880105">
    <w:pPr>
      <w:pStyle w:val="Koptekst"/>
    </w:pPr>
    <w:r>
      <w:rPr>
        <w:noProof/>
      </w:rPr>
      <mc:AlternateContent>
        <mc:Choice Requires="wps">
          <w:drawing>
            <wp:anchor distT="0" distB="0" distL="114300" distR="114300" simplePos="0" relativeHeight="251665407" behindDoc="0" locked="0" layoutInCell="1" allowOverlap="1" wp14:anchorId="26ADF106" wp14:editId="7A043D6E">
              <wp:simplePos x="0" y="0"/>
              <wp:positionH relativeFrom="margin">
                <wp:align>center</wp:align>
              </wp:positionH>
              <wp:positionV relativeFrom="paragraph">
                <wp:posOffset>350520</wp:posOffset>
              </wp:positionV>
              <wp:extent cx="6264000" cy="0"/>
              <wp:effectExtent l="0" t="0" r="0" b="0"/>
              <wp:wrapNone/>
              <wp:docPr id="2" name="Rechte verbindingslijn 2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CnPr/>
                    <wps:spPr>
                      <a:xfrm>
                        <a:off x="0" y="0"/>
                        <a:ext cx="6264000" cy="0"/>
                      </a:xfrm>
                      <a:prstGeom prst="line">
                        <a:avLst/>
                      </a:prstGeom>
                    </wps:spPr>
                    <wps:style>
                      <a:lnRef idx="1">
                        <a:schemeClr val="accent1"/>
                      </a:lnRef>
                      <a:fillRef idx="0">
                        <a:schemeClr val="accent1"/>
                      </a:fillRef>
                      <a:effectRef idx="0">
                        <a:schemeClr val="accent1"/>
                      </a:effectRef>
                      <a:fontRef idx="minor">
                        <a:schemeClr val="tx1"/>
                      </a:fontRef>
                    </wps:style>
                    <wps:bodyPr/>
                  </wps:wsp>
                </a:graphicData>
              </a:graphic>
              <wp14:sizeRelH relativeFrom="margin">
                <wp14:pctWidth>0</wp14:pctWidth>
              </wp14:sizeRelH>
            </wp:anchor>
          </w:drawing>
        </mc:Choice>
        <mc:Fallback xmlns:a14="http://schemas.microsoft.com/office/drawing/2010/main" xmlns:pic="http://schemas.openxmlformats.org/drawingml/2006/picture" xmlns:a="http://schemas.openxmlformats.org/drawingml/2006/main">
          <w:pict>
            <v:line id="Rechte verbindingslijn 2" style="position:absolute;z-index:251665407;visibility:visible;mso-wrap-style:square;mso-width-percent:0;mso-wrap-distance-left:9pt;mso-wrap-distance-top:0;mso-wrap-distance-right:9pt;mso-wrap-distance-bottom:0;mso-position-horizontal:center;mso-position-horizontal-relative:margin;mso-position-vertical:absolute;mso-position-vertical-relative:text;mso-width-percent:0;mso-width-relative:margin" o:spid="_x0000_s1026" strokecolor="#0048cc [3204]" strokeweight=".5pt" from="0,27.6pt" to="493.25pt,27.6pt" w14:anchorId="3BAA0DA1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">
              <v:stroke joinstyle="miter"/>
              <w10:wrap anchorx="margin"/>
            </v:line>
          </w:pict>
        </mc:Fallback>
      </mc:AlternateContent>
    </w:r>
    <w:r>
      <w:rPr>
        <w:noProof/>
      </w:rPr>
      <w:drawing>
        <wp:anchor distT="0" distB="0" distL="114300" distR="114300" simplePos="0" relativeHeight="251664383" behindDoc="1" locked="0" layoutInCell="1" allowOverlap="1" wp14:anchorId="0FB5A564" wp14:editId="4696ADB1">
          <wp:simplePos x="0" y="0"/>
          <wp:positionH relativeFrom="margin">
            <wp:align>right</wp:align>
          </wp:positionH>
          <wp:positionV relativeFrom="paragraph">
            <wp:posOffset>-154305</wp:posOffset>
          </wp:positionV>
          <wp:extent cx="2197735" cy="365312"/>
          <wp:effectExtent l="0" t="0" r="0" b="0"/>
          <wp:wrapTight wrapText="bothSides">
            <wp:wrapPolygon edited="0">
              <wp:start x="749" y="0"/>
              <wp:lineTo x="0" y="2254"/>
              <wp:lineTo x="0" y="13523"/>
              <wp:lineTo x="11421" y="18031"/>
              <wp:lineTo x="11421" y="19158"/>
              <wp:lineTo x="11983" y="20285"/>
              <wp:lineTo x="12732" y="20285"/>
              <wp:lineTo x="20408" y="20285"/>
              <wp:lineTo x="20970" y="18031"/>
              <wp:lineTo x="21344" y="1127"/>
              <wp:lineTo x="20970" y="0"/>
              <wp:lineTo x="13855" y="0"/>
              <wp:lineTo x="749" y="0"/>
            </wp:wrapPolygon>
          </wp:wrapTight>
          <wp:docPr id="760629583" name="Afbeelding 760629583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" name="Goudsmit_Logotype_RGB_Blue_1200DPI.png"/>
                  <pic:cNvPicPr/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2197735" cy="365312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1F7A76A4" w14:textId="6619402B" w:rsidR="006A1028" w:rsidRPr="00C71B9E" w:rsidRDefault="008D31D8" w:rsidP="00C71B9E">
    <w:pPr>
      <w:pStyle w:val="Koptekst"/>
      <w:spacing w:after="240" w:line="276" w:lineRule="auto"/>
      <w:rPr>
        <w:rFonts w:ascii="Graphik Wide Semibold" w:eastAsiaTheme="majorEastAsia" w:hAnsi="Graphik Wide Semibold"/>
        <w:b/>
        <w:bCs/>
        <w:color w:val="005AFF" w:themeColor="text2"/>
        <w:sz w:val="28"/>
        <w:szCs w:val="28"/>
        <w:lang w:eastAsia="en-GB"/>
      </w:rPr>
    </w:pPr>
    <w:r w:rsidRPr="00DC16BF">
      <w:rPr>
        <w:noProof/>
        <w:color w:val="005AFF" w:themeColor="text2"/>
        <w:sz w:val="28"/>
        <w:szCs w:val="28"/>
      </w:rPr>
      <w:drawing>
        <wp:anchor distT="0" distB="0" distL="114300" distR="114300" simplePos="0" relativeHeight="251668479" behindDoc="1" locked="0" layoutInCell="1" allowOverlap="1" wp14:anchorId="48518AAB" wp14:editId="7B419E6E">
          <wp:simplePos x="0" y="0"/>
          <wp:positionH relativeFrom="margin">
            <wp:align>right</wp:align>
          </wp:positionH>
          <wp:positionV relativeFrom="paragraph">
            <wp:posOffset>-143510</wp:posOffset>
          </wp:positionV>
          <wp:extent cx="2197735" cy="365312"/>
          <wp:effectExtent l="0" t="0" r="0" b="0"/>
          <wp:wrapTight wrapText="bothSides">
            <wp:wrapPolygon edited="0">
              <wp:start x="749" y="0"/>
              <wp:lineTo x="0" y="2254"/>
              <wp:lineTo x="0" y="13523"/>
              <wp:lineTo x="11421" y="18031"/>
              <wp:lineTo x="11421" y="19158"/>
              <wp:lineTo x="11983" y="20285"/>
              <wp:lineTo x="12732" y="20285"/>
              <wp:lineTo x="20408" y="20285"/>
              <wp:lineTo x="20970" y="18031"/>
              <wp:lineTo x="21344" y="1127"/>
              <wp:lineTo x="20970" y="0"/>
              <wp:lineTo x="13855" y="0"/>
              <wp:lineTo x="749" y="0"/>
            </wp:wrapPolygon>
          </wp:wrapTight>
          <wp:docPr id="1664939650" name="Afbeelding 1664939650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" name="Goudsmit_Logotype_RGB_Blue_1200DPI.png"/>
                  <pic:cNvPicPr/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2197735" cy="365312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52352A2"/>
    <w:multiLevelType w:val="hybridMultilevel"/>
    <w:tmpl w:val="9B06ABE8"/>
    <w:lvl w:ilvl="0" w:tplc="0809000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792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864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9360" w:hanging="360"/>
      </w:pPr>
      <w:rPr>
        <w:rFonts w:ascii="Wingdings" w:hAnsi="Wingdings" w:hint="default"/>
      </w:rPr>
    </w:lvl>
  </w:abstractNum>
  <w:abstractNum w:abstractNumId="1" w15:restartNumberingAfterBreak="0">
    <w:nsid w:val="096506B5"/>
    <w:multiLevelType w:val="hybridMultilevel"/>
    <w:tmpl w:val="1BE0D460"/>
    <w:lvl w:ilvl="0" w:tplc="0809000F">
      <w:start w:val="1"/>
      <w:numFmt w:val="decimal"/>
      <w:lvlText w:val="%1."/>
      <w:lvlJc w:val="left"/>
      <w:pPr>
        <w:ind w:left="720" w:hanging="360"/>
      </w:pPr>
    </w:lvl>
    <w:lvl w:ilvl="1" w:tplc="08090019" w:tentative="1">
      <w:start w:val="1"/>
      <w:numFmt w:val="lowerLetter"/>
      <w:lvlText w:val="%2."/>
      <w:lvlJc w:val="left"/>
      <w:pPr>
        <w:ind w:left="1440" w:hanging="360"/>
      </w:pPr>
    </w:lvl>
    <w:lvl w:ilvl="2" w:tplc="0809001B" w:tentative="1">
      <w:start w:val="1"/>
      <w:numFmt w:val="lowerRoman"/>
      <w:lvlText w:val="%3."/>
      <w:lvlJc w:val="right"/>
      <w:pPr>
        <w:ind w:left="2160" w:hanging="180"/>
      </w:pPr>
    </w:lvl>
    <w:lvl w:ilvl="3" w:tplc="0809000F" w:tentative="1">
      <w:start w:val="1"/>
      <w:numFmt w:val="decimal"/>
      <w:lvlText w:val="%4."/>
      <w:lvlJc w:val="left"/>
      <w:pPr>
        <w:ind w:left="2880" w:hanging="360"/>
      </w:pPr>
    </w:lvl>
    <w:lvl w:ilvl="4" w:tplc="08090019" w:tentative="1">
      <w:start w:val="1"/>
      <w:numFmt w:val="lowerLetter"/>
      <w:lvlText w:val="%5."/>
      <w:lvlJc w:val="left"/>
      <w:pPr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2E3026AC"/>
    <w:multiLevelType w:val="multilevel"/>
    <w:tmpl w:val="0413001F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decimal"/>
      <w:lvlText w:val="%1.%2."/>
      <w:lvlJc w:val="left"/>
      <w:pPr>
        <w:ind w:left="792" w:hanging="432"/>
      </w:p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3" w15:restartNumberingAfterBreak="0">
    <w:nsid w:val="39EE29D9"/>
    <w:multiLevelType w:val="hybridMultilevel"/>
    <w:tmpl w:val="D222E184"/>
    <w:lvl w:ilvl="0" w:tplc="F654B99A">
      <w:numFmt w:val="bullet"/>
      <w:lvlText w:val="-"/>
      <w:lvlJc w:val="left"/>
      <w:pPr>
        <w:ind w:left="720" w:hanging="360"/>
      </w:pPr>
      <w:rPr>
        <w:rFonts w:ascii="Arial" w:eastAsiaTheme="minorEastAsia" w:hAnsi="Arial" w:cs="Aria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 w15:restartNumberingAfterBreak="0">
    <w:nsid w:val="3A977CF1"/>
    <w:multiLevelType w:val="hybridMultilevel"/>
    <w:tmpl w:val="0066A35A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5" w15:restartNumberingAfterBreak="0">
    <w:nsid w:val="48620CA5"/>
    <w:multiLevelType w:val="multilevel"/>
    <w:tmpl w:val="8BE090BA"/>
    <w:lvl w:ilvl="0">
      <w:start w:val="1"/>
      <w:numFmt w:val="decimal"/>
      <w:lvlText w:val="%1."/>
      <w:lvlJc w:val="left"/>
      <w:pPr>
        <w:ind w:left="567" w:hanging="567"/>
      </w:pPr>
      <w:rPr>
        <w:rFonts w:hint="default"/>
      </w:rPr>
    </w:lvl>
    <w:lvl w:ilvl="1">
      <w:start w:val="1"/>
      <w:numFmt w:val="decimal"/>
      <w:isLgl/>
      <w:lvlText w:val="%1.%2"/>
      <w:lvlJc w:val="left"/>
      <w:pPr>
        <w:ind w:left="567" w:hanging="567"/>
      </w:pPr>
      <w:rPr>
        <w:rFonts w:hint="default"/>
      </w:rPr>
    </w:lvl>
    <w:lvl w:ilvl="2">
      <w:start w:val="1"/>
      <w:numFmt w:val="decimal"/>
      <w:isLgl/>
      <w:lvlText w:val="%1.%2.%3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isLgl/>
      <w:lvlText w:val="%1.%2.%3.%4"/>
      <w:lvlJc w:val="left"/>
      <w:pPr>
        <w:ind w:left="1080" w:hanging="1080"/>
      </w:pPr>
      <w:rPr>
        <w:rFonts w:hint="default"/>
      </w:rPr>
    </w:lvl>
    <w:lvl w:ilvl="4">
      <w:start w:val="1"/>
      <w:numFmt w:val="decimal"/>
      <w:isLgl/>
      <w:lvlText w:val="%1.%2.%3.%4.%5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isLgl/>
      <w:lvlText w:val="%1.%2.%3.%4.%5.%6"/>
      <w:lvlJc w:val="left"/>
      <w:pPr>
        <w:ind w:left="1440" w:hanging="1440"/>
      </w:pPr>
      <w:rPr>
        <w:rFonts w:hint="default"/>
      </w:rPr>
    </w:lvl>
    <w:lvl w:ilvl="6">
      <w:start w:val="1"/>
      <w:numFmt w:val="decimal"/>
      <w:isLgl/>
      <w:lvlText w:val="%1.%2.%3.%4.%5.%6.%7"/>
      <w:lvlJc w:val="left"/>
      <w:pPr>
        <w:ind w:left="1440" w:hanging="1440"/>
      </w:pPr>
      <w:rPr>
        <w:rFonts w:hint="default"/>
      </w:rPr>
    </w:lvl>
    <w:lvl w:ilvl="7">
      <w:start w:val="1"/>
      <w:numFmt w:val="decimal"/>
      <w:isLgl/>
      <w:lvlText w:val="%1.%2.%3.%4.%5.%6.%7.%8"/>
      <w:lvlJc w:val="left"/>
      <w:pPr>
        <w:ind w:left="1800" w:hanging="1800"/>
      </w:pPr>
      <w:rPr>
        <w:rFonts w:hint="default"/>
      </w:rPr>
    </w:lvl>
    <w:lvl w:ilvl="8">
      <w:start w:val="1"/>
      <w:numFmt w:val="decimal"/>
      <w:isLgl/>
      <w:lvlText w:val="%1.%2.%3.%4.%5.%6.%7.%8.%9"/>
      <w:lvlJc w:val="left"/>
      <w:pPr>
        <w:ind w:left="1800" w:hanging="1800"/>
      </w:pPr>
      <w:rPr>
        <w:rFonts w:hint="default"/>
      </w:rPr>
    </w:lvl>
  </w:abstractNum>
  <w:abstractNum w:abstractNumId="6" w15:restartNumberingAfterBreak="0">
    <w:nsid w:val="4D4C219B"/>
    <w:multiLevelType w:val="multilevel"/>
    <w:tmpl w:val="A0AA3F0A"/>
    <w:lvl w:ilvl="0">
      <w:start w:val="1"/>
      <w:numFmt w:val="decimal"/>
      <w:lvlText w:val="%1"/>
      <w:lvlJc w:val="left"/>
      <w:pPr>
        <w:ind w:left="360" w:hanging="360"/>
      </w:pPr>
      <w:rPr>
        <w:rFonts w:hint="default"/>
      </w:rPr>
    </w:lvl>
    <w:lvl w:ilvl="1">
      <w:start w:val="2"/>
      <w:numFmt w:val="decimal"/>
      <w:lvlText w:val="%1.%2"/>
      <w:lvlJc w:val="left"/>
      <w:pPr>
        <w:ind w:left="567" w:hanging="567"/>
      </w:pPr>
      <w:rPr>
        <w:rFonts w:hint="default"/>
      </w:rPr>
    </w:lvl>
    <w:lvl w:ilvl="2">
      <w:start w:val="1"/>
      <w:numFmt w:val="decimal"/>
      <w:lvlText w:val="%1.%2.%3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ind w:left="1080" w:hanging="108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ind w:left="1440" w:hanging="144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ind w:left="1440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ind w:left="1800" w:hanging="180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ind w:left="1800" w:hanging="1800"/>
      </w:pPr>
      <w:rPr>
        <w:rFonts w:hint="default"/>
      </w:rPr>
    </w:lvl>
  </w:abstractNum>
  <w:abstractNum w:abstractNumId="7" w15:restartNumberingAfterBreak="0">
    <w:nsid w:val="537E5146"/>
    <w:multiLevelType w:val="multilevel"/>
    <w:tmpl w:val="E1D65890"/>
    <w:lvl w:ilvl="0">
      <w:start w:val="1"/>
      <w:numFmt w:val="bullet"/>
      <w:lvlText w:val=""/>
      <w:lvlJc w:val="left"/>
      <w:pPr>
        <w:ind w:left="567" w:hanging="283"/>
      </w:pPr>
      <w:rPr>
        <w:rFonts w:ascii="Symbol" w:hAnsi="Symbol" w:hint="default"/>
        <w:color w:val="005AFF" w:themeColor="text2"/>
      </w:rPr>
    </w:lvl>
    <w:lvl w:ilvl="1">
      <w:start w:val="1"/>
      <w:numFmt w:val="bullet"/>
      <w:lvlText w:val="o"/>
      <w:lvlJc w:val="left"/>
      <w:pPr>
        <w:ind w:left="567" w:firstLine="0"/>
      </w:pPr>
      <w:rPr>
        <w:rFonts w:ascii="Courier New" w:hAnsi="Courier New" w:hint="default"/>
        <w:color w:val="005AFF" w:themeColor="text2"/>
      </w:rPr>
    </w:lvl>
    <w:lvl w:ilvl="2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8" w15:restartNumberingAfterBreak="0">
    <w:nsid w:val="576F7BC8"/>
    <w:multiLevelType w:val="multilevel"/>
    <w:tmpl w:val="0413001F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decimal"/>
      <w:lvlText w:val="%1.%2."/>
      <w:lvlJc w:val="left"/>
      <w:pPr>
        <w:ind w:left="792" w:hanging="432"/>
      </w:p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9" w15:restartNumberingAfterBreak="0">
    <w:nsid w:val="58770FE1"/>
    <w:multiLevelType w:val="multilevel"/>
    <w:tmpl w:val="DCCCF70A"/>
    <w:lvl w:ilvl="0">
      <w:start w:val="1"/>
      <w:numFmt w:val="decimal"/>
      <w:lvlText w:val="%1"/>
      <w:lvlJc w:val="left"/>
      <w:pPr>
        <w:ind w:left="360" w:hanging="360"/>
      </w:pPr>
      <w:rPr>
        <w:rFonts w:hint="default"/>
      </w:rPr>
    </w:lvl>
    <w:lvl w:ilvl="1">
      <w:start w:val="2"/>
      <w:numFmt w:val="decimal"/>
      <w:lvlText w:val="%1.%2"/>
      <w:lvlJc w:val="left"/>
      <w:pPr>
        <w:ind w:left="360" w:hanging="360"/>
      </w:pPr>
      <w:rPr>
        <w:rFonts w:hint="default"/>
      </w:rPr>
    </w:lvl>
    <w:lvl w:ilvl="2">
      <w:start w:val="1"/>
      <w:numFmt w:val="decimal"/>
      <w:lvlText w:val="%1.%2.%3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ind w:left="1080" w:hanging="108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ind w:left="1440" w:hanging="144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ind w:left="1440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ind w:left="1800" w:hanging="180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ind w:left="1800" w:hanging="1800"/>
      </w:pPr>
      <w:rPr>
        <w:rFonts w:hint="default"/>
      </w:rPr>
    </w:lvl>
  </w:abstractNum>
  <w:abstractNum w:abstractNumId="10" w15:restartNumberingAfterBreak="0">
    <w:nsid w:val="73571CCF"/>
    <w:multiLevelType w:val="multilevel"/>
    <w:tmpl w:val="7634444A"/>
    <w:lvl w:ilvl="0">
      <w:start w:val="1"/>
      <w:numFmt w:val="bullet"/>
      <w:lvlText w:val=""/>
      <w:lvlJc w:val="left"/>
      <w:pPr>
        <w:ind w:left="567" w:hanging="283"/>
      </w:pPr>
      <w:rPr>
        <w:rFonts w:ascii="Wingdings" w:hAnsi="Wingdings" w:hint="default"/>
        <w:color w:val="005AFF" w:themeColor="text2"/>
      </w:rPr>
    </w:lvl>
    <w:lvl w:ilvl="1">
      <w:start w:val="1"/>
      <w:numFmt w:val="bullet"/>
      <w:lvlText w:val=""/>
      <w:lvlJc w:val="left"/>
      <w:pPr>
        <w:tabs>
          <w:tab w:val="num" w:pos="851"/>
        </w:tabs>
        <w:ind w:left="851" w:hanging="284"/>
      </w:pPr>
      <w:rPr>
        <w:rFonts w:ascii="Symbol" w:hAnsi="Symbol" w:hint="default"/>
        <w:color w:val="005AFF" w:themeColor="text2"/>
      </w:rPr>
    </w:lvl>
    <w:lvl w:ilvl="2">
      <w:start w:val="1"/>
      <w:numFmt w:val="bullet"/>
      <w:lvlText w:val="o"/>
      <w:lvlJc w:val="left"/>
      <w:pPr>
        <w:ind w:left="1134" w:hanging="283"/>
      </w:pPr>
      <w:rPr>
        <w:rFonts w:ascii="Courier New" w:hAnsi="Courier New" w:hint="default"/>
        <w:color w:val="005AFF" w:themeColor="text2"/>
      </w:rPr>
    </w:lvl>
    <w:lvl w:ilvl="3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1" w15:restartNumberingAfterBreak="0">
    <w:nsid w:val="7FBB0A6D"/>
    <w:multiLevelType w:val="hybridMultilevel"/>
    <w:tmpl w:val="58D2E61A"/>
    <w:lvl w:ilvl="0" w:tplc="0809000F">
      <w:start w:val="1"/>
      <w:numFmt w:val="decimal"/>
      <w:lvlText w:val="%1."/>
      <w:lvlJc w:val="left"/>
      <w:pPr>
        <w:ind w:left="720" w:hanging="360"/>
      </w:pPr>
    </w:lvl>
    <w:lvl w:ilvl="1" w:tplc="08090019" w:tentative="1">
      <w:start w:val="1"/>
      <w:numFmt w:val="lowerLetter"/>
      <w:lvlText w:val="%2."/>
      <w:lvlJc w:val="left"/>
      <w:pPr>
        <w:ind w:left="1440" w:hanging="360"/>
      </w:pPr>
    </w:lvl>
    <w:lvl w:ilvl="2" w:tplc="0809001B" w:tentative="1">
      <w:start w:val="1"/>
      <w:numFmt w:val="lowerRoman"/>
      <w:lvlText w:val="%3."/>
      <w:lvlJc w:val="right"/>
      <w:pPr>
        <w:ind w:left="2160" w:hanging="180"/>
      </w:pPr>
    </w:lvl>
    <w:lvl w:ilvl="3" w:tplc="0809000F" w:tentative="1">
      <w:start w:val="1"/>
      <w:numFmt w:val="decimal"/>
      <w:lvlText w:val="%4."/>
      <w:lvlJc w:val="left"/>
      <w:pPr>
        <w:ind w:left="2880" w:hanging="360"/>
      </w:pPr>
    </w:lvl>
    <w:lvl w:ilvl="4" w:tplc="08090019" w:tentative="1">
      <w:start w:val="1"/>
      <w:numFmt w:val="lowerLetter"/>
      <w:lvlText w:val="%5."/>
      <w:lvlJc w:val="left"/>
      <w:pPr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ind w:left="6480" w:hanging="180"/>
      </w:pPr>
    </w:lvl>
  </w:abstractNum>
  <w:num w:numId="1" w16cid:durableId="660040074">
    <w:abstractNumId w:val="0"/>
  </w:num>
  <w:num w:numId="2" w16cid:durableId="553079142">
    <w:abstractNumId w:val="4"/>
  </w:num>
  <w:num w:numId="3" w16cid:durableId="751313941">
    <w:abstractNumId w:val="7"/>
  </w:num>
  <w:num w:numId="4" w16cid:durableId="1449278980">
    <w:abstractNumId w:val="3"/>
  </w:num>
  <w:num w:numId="5" w16cid:durableId="1198541440">
    <w:abstractNumId w:val="5"/>
  </w:num>
  <w:num w:numId="6" w16cid:durableId="54158828">
    <w:abstractNumId w:val="10"/>
  </w:num>
  <w:num w:numId="7" w16cid:durableId="652485778">
    <w:abstractNumId w:val="1"/>
  </w:num>
  <w:num w:numId="8" w16cid:durableId="1450970684">
    <w:abstractNumId w:val="11"/>
  </w:num>
  <w:num w:numId="9" w16cid:durableId="1883788120">
    <w:abstractNumId w:val="2"/>
  </w:num>
  <w:num w:numId="10" w16cid:durableId="485323557">
    <w:abstractNumId w:val="8"/>
  </w:num>
  <w:num w:numId="11" w16cid:durableId="1278869812">
    <w:abstractNumId w:val="9"/>
  </w:num>
  <w:num w:numId="12" w16cid:durableId="1268659173">
    <w:abstractNumId w:val="6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/>
  <w:defaultTabStop w:val="708"/>
  <w:hyphenationZone w:val="425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applyBreakingRules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AA36F5"/>
    <w:rsid w:val="00030886"/>
    <w:rsid w:val="00055A1D"/>
    <w:rsid w:val="0005700F"/>
    <w:rsid w:val="0009754F"/>
    <w:rsid w:val="000A57F6"/>
    <w:rsid w:val="000C10B0"/>
    <w:rsid w:val="000C7FFC"/>
    <w:rsid w:val="001330BB"/>
    <w:rsid w:val="00136B0B"/>
    <w:rsid w:val="00142248"/>
    <w:rsid w:val="00146A42"/>
    <w:rsid w:val="00155F47"/>
    <w:rsid w:val="00195130"/>
    <w:rsid w:val="00196660"/>
    <w:rsid w:val="001A4D83"/>
    <w:rsid w:val="00203173"/>
    <w:rsid w:val="0024565C"/>
    <w:rsid w:val="00246BD9"/>
    <w:rsid w:val="00287D78"/>
    <w:rsid w:val="002D29AA"/>
    <w:rsid w:val="002E0FF5"/>
    <w:rsid w:val="002E4DAA"/>
    <w:rsid w:val="00330636"/>
    <w:rsid w:val="00331CFC"/>
    <w:rsid w:val="00335767"/>
    <w:rsid w:val="0033577D"/>
    <w:rsid w:val="00344511"/>
    <w:rsid w:val="003748FD"/>
    <w:rsid w:val="00381727"/>
    <w:rsid w:val="003A557C"/>
    <w:rsid w:val="003B3092"/>
    <w:rsid w:val="003B705E"/>
    <w:rsid w:val="003F0B8A"/>
    <w:rsid w:val="00444010"/>
    <w:rsid w:val="00447C75"/>
    <w:rsid w:val="00461FCF"/>
    <w:rsid w:val="004C6CAC"/>
    <w:rsid w:val="00575984"/>
    <w:rsid w:val="00575CF6"/>
    <w:rsid w:val="005B31ED"/>
    <w:rsid w:val="005B66F1"/>
    <w:rsid w:val="005D319A"/>
    <w:rsid w:val="005E2D96"/>
    <w:rsid w:val="00624312"/>
    <w:rsid w:val="0062735A"/>
    <w:rsid w:val="006437B4"/>
    <w:rsid w:val="006455DA"/>
    <w:rsid w:val="00686BC6"/>
    <w:rsid w:val="006A1028"/>
    <w:rsid w:val="006E5E47"/>
    <w:rsid w:val="00745B49"/>
    <w:rsid w:val="00824818"/>
    <w:rsid w:val="00833745"/>
    <w:rsid w:val="00840491"/>
    <w:rsid w:val="00880105"/>
    <w:rsid w:val="008B7E76"/>
    <w:rsid w:val="008D31D8"/>
    <w:rsid w:val="008E650A"/>
    <w:rsid w:val="009137B1"/>
    <w:rsid w:val="00925C25"/>
    <w:rsid w:val="00947C7F"/>
    <w:rsid w:val="00954B2B"/>
    <w:rsid w:val="00981D53"/>
    <w:rsid w:val="009941D4"/>
    <w:rsid w:val="009B2440"/>
    <w:rsid w:val="009C08F9"/>
    <w:rsid w:val="009D2547"/>
    <w:rsid w:val="009F5245"/>
    <w:rsid w:val="00A356AC"/>
    <w:rsid w:val="00AA36F5"/>
    <w:rsid w:val="00AC52DF"/>
    <w:rsid w:val="00AC6AD4"/>
    <w:rsid w:val="00B54B1C"/>
    <w:rsid w:val="00BB763F"/>
    <w:rsid w:val="00BD163B"/>
    <w:rsid w:val="00BD19D4"/>
    <w:rsid w:val="00BF4997"/>
    <w:rsid w:val="00C67791"/>
    <w:rsid w:val="00C71B9E"/>
    <w:rsid w:val="00C811FB"/>
    <w:rsid w:val="00C940F3"/>
    <w:rsid w:val="00CB1C14"/>
    <w:rsid w:val="00D11FB9"/>
    <w:rsid w:val="00D13D04"/>
    <w:rsid w:val="00D6019F"/>
    <w:rsid w:val="00D77BBE"/>
    <w:rsid w:val="00DC16BF"/>
    <w:rsid w:val="00E7023C"/>
    <w:rsid w:val="00EB543E"/>
    <w:rsid w:val="00F11E30"/>
    <w:rsid w:val="00F543B7"/>
    <w:rsid w:val="00F677D4"/>
    <w:rsid w:val="00FD13F4"/>
    <w:rsid w:val="00FE413A"/>
    <w:rsid w:val="00FF276C"/>
    <w:rsid w:val="035D09EE"/>
    <w:rsid w:val="04DF0166"/>
    <w:rsid w:val="067904C0"/>
    <w:rsid w:val="0FFF6F49"/>
    <w:rsid w:val="1074E875"/>
    <w:rsid w:val="18470C5C"/>
    <w:rsid w:val="1A6D5546"/>
    <w:rsid w:val="224B822A"/>
    <w:rsid w:val="334B6BF0"/>
    <w:rsid w:val="36A94741"/>
    <w:rsid w:val="3E99FCBE"/>
    <w:rsid w:val="43F58315"/>
    <w:rsid w:val="4B33F904"/>
    <w:rsid w:val="5363F69E"/>
    <w:rsid w:val="586E20DE"/>
    <w:rsid w:val="59742497"/>
    <w:rsid w:val="5D1DE002"/>
    <w:rsid w:val="5D7CBFFD"/>
    <w:rsid w:val="5F3E8540"/>
    <w:rsid w:val="62CDB4DA"/>
    <w:rsid w:val="65D2D3AE"/>
    <w:rsid w:val="703587B1"/>
    <w:rsid w:val="70D7AD42"/>
    <w:rsid w:val="7172E55E"/>
    <w:rsid w:val="7349FB1F"/>
    <w:rsid w:val="7528E6C2"/>
    <w:rsid w:val="76D2180D"/>
    <w:rsid w:val="7ACAB4D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 w:bidi="th-TH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,"/>
  <w:listSeparator w:val=";"/>
  <w14:docId w14:val="3050AD6B"/>
  <w15:chartTrackingRefBased/>
  <w15:docId w15:val="{83300312-4701-487E-97C6-5F87F4F1759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hAnsiTheme="minorHAnsi" w:eastAsiaTheme="minorHAnsi" w:cstheme="minorBidi"/>
        <w:sz w:val="22"/>
        <w:szCs w:val="22"/>
        <w:lang w:val="nl-NL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uiPriority="9" w:semiHidden="1" w:unhideWhenUsed="1" w:qFormat="1"/>
    <w:lsdException w:name="heading 3" w:uiPriority="9" w:semiHidden="1" w:unhideWhenUsed="1" w:qFormat="1"/>
    <w:lsdException w:name="heading 4" w:uiPriority="9" w:semiHidden="1" w:unhideWhenUsed="1" w:qFormat="1"/>
    <w:lsdException w:name="heading 5" w:uiPriority="9" w:semiHidden="1" w:unhideWhenUsed="1" w:qFormat="1"/>
    <w:lsdException w:name="heading 6" w:uiPriority="9" w:semiHidden="1" w:unhideWhenUsed="1" w:qFormat="1"/>
    <w:lsdException w:name="heading 7" w:uiPriority="9" w:semiHidden="1" w:unhideWhenUsed="1" w:qFormat="1"/>
    <w:lsdException w:name="heading 8" w:uiPriority="9" w:semiHidden="1" w:unhideWhenUsed="1" w:qFormat="1"/>
    <w:lsdException w:name="heading 9" w:uiPriority="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uiPriority="39" w:semiHidden="1" w:unhideWhenUsed="1"/>
    <w:lsdException w:name="toc 2" w:uiPriority="39" w:semiHidden="1" w:unhideWhenUsed="1"/>
    <w:lsdException w:name="toc 3" w:uiPriority="39" w:semiHidden="1" w:unhideWhenUsed="1"/>
    <w:lsdException w:name="toc 4" w:uiPriority="39" w:semiHidden="1" w:unhideWhenUsed="1"/>
    <w:lsdException w:name="toc 5" w:uiPriority="39" w:semiHidden="1" w:unhideWhenUsed="1"/>
    <w:lsdException w:name="toc 6" w:uiPriority="39" w:semiHidden="1" w:unhideWhenUsed="1"/>
    <w:lsdException w:name="toc 7" w:uiPriority="39" w:semiHidden="1" w:unhideWhenUsed="1"/>
    <w:lsdException w:name="toc 8" w:uiPriority="39" w:semiHidden="1" w:unhideWhenUsed="1"/>
    <w:lsdException w:name="toc 9" w:uiPriority="3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uiPriority="35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uiPriority="1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uiPriority="37" w:semiHidden="1" w:unhideWhenUsed="1"/>
    <w:lsdException w:name="TOC Heading" w:uiPriority="39" w:semiHidden="1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styleId="Standaard" w:default="1">
    <w:name w:val="Normal"/>
    <w:qFormat/>
    <w:rsid w:val="00344511"/>
    <w:pPr>
      <w:spacing w:after="240"/>
    </w:pPr>
    <w:rPr>
      <w:rFonts w:ascii="Arial" w:hAnsi="Arial" w:cs="Arial"/>
      <w:color w:val="000000" w:themeColor="text1"/>
      <w:sz w:val="24"/>
      <w:szCs w:val="24"/>
    </w:rPr>
  </w:style>
  <w:style w:type="paragraph" w:styleId="Kop1">
    <w:name w:val="heading 1"/>
    <w:basedOn w:val="Geenafstand"/>
    <w:next w:val="Geenafstand"/>
    <w:link w:val="Kop1Char"/>
    <w:uiPriority w:val="9"/>
    <w:qFormat/>
    <w:rsid w:val="00344511"/>
    <w:pPr>
      <w:keepNext/>
      <w:keepLines/>
      <w:outlineLvl w:val="0"/>
    </w:pPr>
    <w:rPr>
      <w:rFonts w:eastAsiaTheme="majorEastAsia"/>
      <w:color w:val="003598" w:themeColor="accent1" w:themeShade="BF"/>
      <w:sz w:val="28"/>
      <w:szCs w:val="28"/>
    </w:rPr>
  </w:style>
  <w:style w:type="paragraph" w:styleId="Kop2">
    <w:name w:val="heading 2"/>
    <w:basedOn w:val="Geenafstand"/>
    <w:next w:val="Geenafstand"/>
    <w:link w:val="Kop2Char"/>
    <w:uiPriority w:val="9"/>
    <w:unhideWhenUsed/>
    <w:qFormat/>
    <w:rsid w:val="00444010"/>
    <w:pPr>
      <w:keepNext/>
      <w:keepLines/>
      <w:outlineLvl w:val="1"/>
    </w:pPr>
    <w:rPr>
      <w:rFonts w:eastAsiaTheme="majorEastAsia"/>
      <w:color w:val="003598" w:themeColor="accent1" w:themeShade="BF"/>
    </w:rPr>
  </w:style>
  <w:style w:type="paragraph" w:styleId="Kop3">
    <w:name w:val="heading 3"/>
    <w:basedOn w:val="Geenafstand"/>
    <w:next w:val="Geenafstand"/>
    <w:link w:val="Kop3Char"/>
    <w:uiPriority w:val="9"/>
    <w:unhideWhenUsed/>
    <w:qFormat/>
    <w:rsid w:val="00880105"/>
    <w:pPr>
      <w:keepNext/>
      <w:keepLines/>
      <w:outlineLvl w:val="2"/>
    </w:pPr>
    <w:rPr>
      <w:rFonts w:eastAsiaTheme="majorEastAsia"/>
      <w:color w:val="003598" w:themeColor="accent1" w:themeShade="BF"/>
      <w:u w:val="single"/>
    </w:rPr>
  </w:style>
  <w:style w:type="paragraph" w:styleId="Kop4">
    <w:name w:val="heading 4"/>
    <w:basedOn w:val="Geenafstand"/>
    <w:next w:val="Geenafstand"/>
    <w:link w:val="Kop4Char"/>
    <w:uiPriority w:val="9"/>
    <w:unhideWhenUsed/>
    <w:qFormat/>
    <w:rsid w:val="00444010"/>
    <w:pPr>
      <w:keepNext/>
      <w:keepLines/>
      <w:outlineLvl w:val="3"/>
    </w:pPr>
    <w:rPr>
      <w:rFonts w:eastAsiaTheme="majorEastAsia"/>
      <w:i/>
      <w:iCs/>
      <w:color w:val="003598" w:themeColor="accent1" w:themeShade="BF"/>
    </w:rPr>
  </w:style>
  <w:style w:type="paragraph" w:styleId="Kop5">
    <w:name w:val="heading 5"/>
    <w:basedOn w:val="Geenafstand"/>
    <w:next w:val="Geenafstand"/>
    <w:link w:val="Kop5Char"/>
    <w:uiPriority w:val="9"/>
    <w:unhideWhenUsed/>
    <w:qFormat/>
    <w:rsid w:val="00444010"/>
    <w:pPr>
      <w:keepNext/>
      <w:keepLines/>
      <w:outlineLvl w:val="4"/>
    </w:pPr>
    <w:rPr>
      <w:rFonts w:eastAsiaTheme="majorEastAsia"/>
      <w:b/>
      <w:bCs/>
      <w:color w:val="003598" w:themeColor="accent1" w:themeShade="BF"/>
    </w:rPr>
  </w:style>
  <w:style w:type="paragraph" w:styleId="Kop6">
    <w:name w:val="heading 6"/>
    <w:basedOn w:val="Geenafstand"/>
    <w:next w:val="Geenafstand"/>
    <w:link w:val="Kop6Char"/>
    <w:uiPriority w:val="9"/>
    <w:unhideWhenUsed/>
    <w:qFormat/>
    <w:rsid w:val="00444010"/>
    <w:pPr>
      <w:keepNext/>
      <w:keepLines/>
      <w:outlineLvl w:val="5"/>
    </w:pPr>
    <w:rPr>
      <w:rFonts w:eastAsiaTheme="majorEastAsia"/>
      <w:b/>
      <w:bCs/>
      <w:color w:val="003598" w:themeColor="accent1" w:themeShade="BF"/>
      <w:sz w:val="20"/>
      <w:szCs w:val="20"/>
    </w:rPr>
  </w:style>
  <w:style w:type="paragraph" w:styleId="Kop7">
    <w:name w:val="heading 7"/>
    <w:basedOn w:val="Geenafstand"/>
    <w:next w:val="Geenafstand"/>
    <w:link w:val="Kop7Char"/>
    <w:uiPriority w:val="9"/>
    <w:unhideWhenUsed/>
    <w:qFormat/>
    <w:rsid w:val="00444010"/>
    <w:pPr>
      <w:keepNext/>
      <w:keepLines/>
      <w:outlineLvl w:val="6"/>
    </w:pPr>
    <w:rPr>
      <w:rFonts w:eastAsiaTheme="majorEastAsia"/>
      <w:b/>
      <w:bCs/>
      <w:color w:val="003598" w:themeColor="accent1" w:themeShade="BF"/>
      <w:sz w:val="20"/>
      <w:szCs w:val="20"/>
      <w:u w:val="single" w:color="003598" w:themeColor="accent1" w:themeShade="BF"/>
    </w:rPr>
  </w:style>
  <w:style w:type="paragraph" w:styleId="Kop8">
    <w:name w:val="heading 8"/>
    <w:basedOn w:val="Geenafstand"/>
    <w:next w:val="Geenafstand"/>
    <w:link w:val="Kop8Char"/>
    <w:uiPriority w:val="9"/>
    <w:unhideWhenUsed/>
    <w:qFormat/>
    <w:rsid w:val="00880105"/>
    <w:pPr>
      <w:keepNext/>
      <w:keepLines/>
      <w:outlineLvl w:val="7"/>
    </w:pPr>
    <w:rPr>
      <w:rFonts w:eastAsiaTheme="majorEastAsia"/>
      <w:b/>
      <w:bCs/>
      <w:color w:val="272727" w:themeColor="text1" w:themeTint="D8"/>
    </w:rPr>
  </w:style>
  <w:style w:type="paragraph" w:styleId="Kop9">
    <w:name w:val="heading 9"/>
    <w:basedOn w:val="Geenafstand"/>
    <w:next w:val="Geenafstand"/>
    <w:link w:val="Kop9Char"/>
    <w:uiPriority w:val="9"/>
    <w:unhideWhenUsed/>
    <w:qFormat/>
    <w:rsid w:val="00880105"/>
    <w:pPr>
      <w:keepNext/>
      <w:keepLines/>
      <w:outlineLvl w:val="8"/>
    </w:pPr>
    <w:rPr>
      <w:rFonts w:eastAsiaTheme="majorEastAsia"/>
      <w:b/>
      <w:bCs/>
      <w:color w:val="272727" w:themeColor="text1" w:themeTint="D8"/>
      <w:sz w:val="20"/>
      <w:szCs w:val="20"/>
    </w:rPr>
  </w:style>
  <w:style w:type="character" w:styleId="Standaardalinea-lettertype" w:default="1">
    <w:name w:val="Default Paragraph Font"/>
    <w:uiPriority w:val="1"/>
    <w:semiHidden/>
    <w:unhideWhenUsed/>
  </w:style>
  <w:style w:type="table" w:styleId="Standaardtabel" w:default="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styleId="Geenlijst" w:default="1">
    <w:name w:val="No List"/>
    <w:uiPriority w:val="99"/>
    <w:semiHidden/>
    <w:unhideWhenUsed/>
  </w:style>
  <w:style w:type="character" w:styleId="Kop1Char" w:customStyle="1">
    <w:name w:val="Kop 1 Char"/>
    <w:basedOn w:val="Standaardalinea-lettertype"/>
    <w:link w:val="Kop1"/>
    <w:uiPriority w:val="9"/>
    <w:rsid w:val="00444010"/>
    <w:rPr>
      <w:rFonts w:ascii="Arial" w:hAnsi="Arial" w:cs="Arial" w:eastAsiaTheme="majorEastAsia"/>
      <w:color w:val="003598" w:themeColor="accent1" w:themeShade="BF"/>
      <w:sz w:val="28"/>
      <w:szCs w:val="28"/>
      <w:lang w:eastAsia="en-GB"/>
    </w:rPr>
  </w:style>
  <w:style w:type="character" w:styleId="Kop2Char" w:customStyle="1">
    <w:name w:val="Kop 2 Char"/>
    <w:basedOn w:val="Standaardalinea-lettertype"/>
    <w:link w:val="Kop2"/>
    <w:uiPriority w:val="9"/>
    <w:rsid w:val="00444010"/>
    <w:rPr>
      <w:rFonts w:ascii="Arial" w:hAnsi="Arial" w:cs="Arial" w:eastAsiaTheme="majorEastAsia"/>
      <w:color w:val="003598" w:themeColor="accent1" w:themeShade="BF"/>
      <w:sz w:val="24"/>
      <w:szCs w:val="24"/>
      <w:lang w:eastAsia="en-GB"/>
    </w:rPr>
  </w:style>
  <w:style w:type="character" w:styleId="Kop3Char" w:customStyle="1">
    <w:name w:val="Kop 3 Char"/>
    <w:basedOn w:val="Standaardalinea-lettertype"/>
    <w:link w:val="Kop3"/>
    <w:uiPriority w:val="9"/>
    <w:rsid w:val="00880105"/>
    <w:rPr>
      <w:rFonts w:ascii="Arial" w:hAnsi="Arial" w:cs="Arial" w:eastAsiaTheme="majorEastAsia"/>
      <w:color w:val="003598" w:themeColor="accent1" w:themeShade="BF"/>
      <w:sz w:val="24"/>
      <w:szCs w:val="24"/>
      <w:u w:val="single"/>
      <w:lang w:eastAsia="en-GB"/>
    </w:rPr>
  </w:style>
  <w:style w:type="character" w:styleId="Kop4Char" w:customStyle="1">
    <w:name w:val="Kop 4 Char"/>
    <w:basedOn w:val="Standaardalinea-lettertype"/>
    <w:link w:val="Kop4"/>
    <w:uiPriority w:val="9"/>
    <w:rsid w:val="00444010"/>
    <w:rPr>
      <w:rFonts w:ascii="Arial" w:hAnsi="Arial" w:cs="Arial" w:eastAsiaTheme="majorEastAsia"/>
      <w:i/>
      <w:iCs/>
      <w:color w:val="003598" w:themeColor="accent1" w:themeShade="BF"/>
      <w:sz w:val="24"/>
      <w:szCs w:val="24"/>
      <w:lang w:eastAsia="en-GB"/>
    </w:rPr>
  </w:style>
  <w:style w:type="character" w:styleId="Kop5Char" w:customStyle="1">
    <w:name w:val="Kop 5 Char"/>
    <w:basedOn w:val="Standaardalinea-lettertype"/>
    <w:link w:val="Kop5"/>
    <w:uiPriority w:val="9"/>
    <w:rsid w:val="00444010"/>
    <w:rPr>
      <w:rFonts w:ascii="Arial" w:hAnsi="Arial" w:cs="Arial" w:eastAsiaTheme="majorEastAsia"/>
      <w:b/>
      <w:bCs/>
      <w:color w:val="003598" w:themeColor="accent1" w:themeShade="BF"/>
      <w:sz w:val="24"/>
      <w:szCs w:val="24"/>
      <w:lang w:eastAsia="en-GB"/>
    </w:rPr>
  </w:style>
  <w:style w:type="character" w:styleId="Kop6Char" w:customStyle="1">
    <w:name w:val="Kop 6 Char"/>
    <w:basedOn w:val="Standaardalinea-lettertype"/>
    <w:link w:val="Kop6"/>
    <w:uiPriority w:val="9"/>
    <w:rsid w:val="00444010"/>
    <w:rPr>
      <w:rFonts w:ascii="Arial" w:hAnsi="Arial" w:cs="Arial" w:eastAsiaTheme="majorEastAsia"/>
      <w:b/>
      <w:bCs/>
      <w:color w:val="003598" w:themeColor="accent1" w:themeShade="BF"/>
      <w:sz w:val="20"/>
      <w:szCs w:val="20"/>
      <w:lang w:eastAsia="en-GB"/>
    </w:rPr>
  </w:style>
  <w:style w:type="paragraph" w:styleId="Ondertitel">
    <w:name w:val="Subtitle"/>
    <w:basedOn w:val="Standaard"/>
    <w:next w:val="Standaard"/>
    <w:link w:val="OndertitelChar"/>
    <w:uiPriority w:val="11"/>
    <w:qFormat/>
    <w:rsid w:val="003B3092"/>
    <w:pPr>
      <w:numPr>
        <w:ilvl w:val="1"/>
      </w:numPr>
    </w:pPr>
    <w:rPr>
      <w:rFonts w:asciiTheme="majorHAnsi" w:hAnsiTheme="majorHAnsi" w:eastAsiaTheme="majorEastAsia" w:cstheme="majorBidi"/>
      <w:i/>
      <w:iCs/>
      <w:color w:val="0048CC" w:themeColor="accent1"/>
      <w:spacing w:val="15"/>
    </w:rPr>
  </w:style>
  <w:style w:type="character" w:styleId="OndertitelChar" w:customStyle="1">
    <w:name w:val="Ondertitel Char"/>
    <w:basedOn w:val="Standaardalinea-lettertype"/>
    <w:link w:val="Ondertitel"/>
    <w:uiPriority w:val="11"/>
    <w:rsid w:val="003B3092"/>
    <w:rPr>
      <w:rFonts w:asciiTheme="majorHAnsi" w:hAnsiTheme="majorHAnsi" w:eastAsiaTheme="majorEastAsia" w:cstheme="majorBidi"/>
      <w:i/>
      <w:iCs/>
      <w:color w:val="0048CC" w:themeColor="accent1"/>
      <w:spacing w:val="15"/>
      <w:sz w:val="24"/>
      <w:szCs w:val="24"/>
    </w:rPr>
  </w:style>
  <w:style w:type="paragraph" w:styleId="Geenafstand">
    <w:name w:val="No Spacing"/>
    <w:link w:val="GeenafstandChar"/>
    <w:uiPriority w:val="1"/>
    <w:qFormat/>
    <w:rsid w:val="00344511"/>
    <w:pPr>
      <w:spacing w:after="0" w:line="240" w:lineRule="auto"/>
    </w:pPr>
    <w:rPr>
      <w:rFonts w:ascii="Arial" w:hAnsi="Arial" w:cs="Arial" w:eastAsiaTheme="minorEastAsia"/>
      <w:sz w:val="24"/>
      <w:szCs w:val="24"/>
      <w:lang w:eastAsia="en-GB"/>
    </w:rPr>
  </w:style>
  <w:style w:type="character" w:styleId="GeenafstandChar" w:customStyle="1">
    <w:name w:val="Geen afstand Char"/>
    <w:basedOn w:val="Standaardalinea-lettertype"/>
    <w:link w:val="Geenafstand"/>
    <w:uiPriority w:val="1"/>
    <w:rsid w:val="00344511"/>
    <w:rPr>
      <w:rFonts w:ascii="Arial" w:hAnsi="Arial" w:cs="Arial" w:eastAsiaTheme="minorEastAsia"/>
      <w:sz w:val="24"/>
      <w:szCs w:val="24"/>
      <w:lang w:eastAsia="en-GB"/>
    </w:rPr>
  </w:style>
  <w:style w:type="paragraph" w:styleId="Lijstalinea">
    <w:name w:val="List Paragraph"/>
    <w:basedOn w:val="Standaard"/>
    <w:uiPriority w:val="34"/>
    <w:qFormat/>
    <w:rsid w:val="003B3092"/>
    <w:pPr>
      <w:ind w:left="720"/>
      <w:contextualSpacing/>
    </w:pPr>
  </w:style>
  <w:style w:type="character" w:styleId="Intensievebenadrukking">
    <w:name w:val="Intense Emphasis"/>
    <w:basedOn w:val="Standaardalinea-lettertype"/>
    <w:uiPriority w:val="21"/>
    <w:qFormat/>
    <w:rsid w:val="003B3092"/>
    <w:rPr>
      <w:b/>
      <w:bCs/>
      <w:i/>
      <w:iCs/>
      <w:color w:val="0048CC" w:themeColor="accent1"/>
    </w:rPr>
  </w:style>
  <w:style w:type="paragraph" w:styleId="Kopvaninhoudsopgave">
    <w:name w:val="TOC Heading"/>
    <w:basedOn w:val="Kop1"/>
    <w:next w:val="Standaard"/>
    <w:uiPriority w:val="39"/>
    <w:unhideWhenUsed/>
    <w:qFormat/>
    <w:rsid w:val="003B3092"/>
    <w:pPr>
      <w:outlineLvl w:val="9"/>
    </w:pPr>
  </w:style>
  <w:style w:type="paragraph" w:styleId="Koptekst">
    <w:name w:val="header"/>
    <w:basedOn w:val="Standaard"/>
    <w:link w:val="KoptekstChar"/>
    <w:uiPriority w:val="99"/>
    <w:unhideWhenUsed/>
    <w:rsid w:val="006A1028"/>
    <w:pPr>
      <w:tabs>
        <w:tab w:val="center" w:pos="4536"/>
        <w:tab w:val="right" w:pos="9072"/>
      </w:tabs>
      <w:spacing w:after="0" w:line="240" w:lineRule="auto"/>
    </w:pPr>
  </w:style>
  <w:style w:type="character" w:styleId="KoptekstChar" w:customStyle="1">
    <w:name w:val="Koptekst Char"/>
    <w:basedOn w:val="Standaardalinea-lettertype"/>
    <w:link w:val="Koptekst"/>
    <w:uiPriority w:val="99"/>
    <w:rsid w:val="006A1028"/>
    <w:rPr>
      <w:sz w:val="20"/>
    </w:rPr>
  </w:style>
  <w:style w:type="paragraph" w:styleId="Voettekst">
    <w:name w:val="footer"/>
    <w:basedOn w:val="Standaard"/>
    <w:link w:val="VoettekstChar"/>
    <w:uiPriority w:val="99"/>
    <w:unhideWhenUsed/>
    <w:rsid w:val="006A1028"/>
    <w:pPr>
      <w:tabs>
        <w:tab w:val="center" w:pos="4536"/>
        <w:tab w:val="right" w:pos="9072"/>
      </w:tabs>
      <w:spacing w:after="0" w:line="240" w:lineRule="auto"/>
    </w:pPr>
  </w:style>
  <w:style w:type="character" w:styleId="VoettekstChar" w:customStyle="1">
    <w:name w:val="Voettekst Char"/>
    <w:basedOn w:val="Standaardalinea-lettertype"/>
    <w:link w:val="Voettekst"/>
    <w:uiPriority w:val="99"/>
    <w:rsid w:val="006A1028"/>
    <w:rPr>
      <w:sz w:val="20"/>
    </w:rPr>
  </w:style>
  <w:style w:type="character" w:styleId="Kop7Char" w:customStyle="1">
    <w:name w:val="Kop 7 Char"/>
    <w:basedOn w:val="Standaardalinea-lettertype"/>
    <w:link w:val="Kop7"/>
    <w:uiPriority w:val="9"/>
    <w:rsid w:val="00444010"/>
    <w:rPr>
      <w:rFonts w:ascii="Arial" w:hAnsi="Arial" w:cs="Arial" w:eastAsiaTheme="majorEastAsia"/>
      <w:b/>
      <w:bCs/>
      <w:color w:val="003598" w:themeColor="accent1" w:themeShade="BF"/>
      <w:sz w:val="20"/>
      <w:szCs w:val="20"/>
      <w:u w:val="single" w:color="003598" w:themeColor="accent1" w:themeShade="BF"/>
      <w:lang w:eastAsia="en-GB"/>
    </w:rPr>
  </w:style>
  <w:style w:type="character" w:styleId="Kop8Char" w:customStyle="1">
    <w:name w:val="Kop 8 Char"/>
    <w:basedOn w:val="Standaardalinea-lettertype"/>
    <w:link w:val="Kop8"/>
    <w:uiPriority w:val="9"/>
    <w:rsid w:val="00880105"/>
    <w:rPr>
      <w:rFonts w:ascii="Arial" w:hAnsi="Arial" w:cs="Arial" w:eastAsiaTheme="majorEastAsia"/>
      <w:b/>
      <w:bCs/>
      <w:color w:val="272727" w:themeColor="text1" w:themeTint="D8"/>
      <w:sz w:val="24"/>
      <w:szCs w:val="24"/>
      <w:lang w:eastAsia="en-GB"/>
    </w:rPr>
  </w:style>
  <w:style w:type="character" w:styleId="Kop9Char" w:customStyle="1">
    <w:name w:val="Kop 9 Char"/>
    <w:basedOn w:val="Standaardalinea-lettertype"/>
    <w:link w:val="Kop9"/>
    <w:uiPriority w:val="9"/>
    <w:rsid w:val="00880105"/>
    <w:rPr>
      <w:rFonts w:ascii="Arial" w:hAnsi="Arial" w:cs="Arial" w:eastAsiaTheme="majorEastAsia"/>
      <w:b/>
      <w:bCs/>
      <w:color w:val="272727" w:themeColor="text1" w:themeTint="D8"/>
      <w:sz w:val="20"/>
      <w:szCs w:val="20"/>
      <w:lang w:eastAsia="en-GB"/>
    </w:rPr>
  </w:style>
  <w:style w:type="paragraph" w:styleId="Titel">
    <w:name w:val="Title"/>
    <w:basedOn w:val="Geenafstand"/>
    <w:next w:val="Geenafstand"/>
    <w:link w:val="TitelChar"/>
    <w:uiPriority w:val="10"/>
    <w:qFormat/>
    <w:rsid w:val="00880105"/>
    <w:pPr>
      <w:contextualSpacing/>
    </w:pPr>
    <w:rPr>
      <w:rFonts w:eastAsiaTheme="majorEastAsia"/>
      <w:color w:val="000000" w:themeColor="text1"/>
      <w:spacing w:val="-10"/>
      <w:kern w:val="28"/>
      <w:sz w:val="40"/>
      <w:szCs w:val="40"/>
    </w:rPr>
  </w:style>
  <w:style w:type="character" w:styleId="TitelChar" w:customStyle="1">
    <w:name w:val="Titel Char"/>
    <w:basedOn w:val="Standaardalinea-lettertype"/>
    <w:link w:val="Titel"/>
    <w:uiPriority w:val="10"/>
    <w:rsid w:val="00880105"/>
    <w:rPr>
      <w:rFonts w:ascii="Arial" w:hAnsi="Arial" w:cs="Arial" w:eastAsiaTheme="majorEastAsia"/>
      <w:color w:val="000000" w:themeColor="text1"/>
      <w:spacing w:val="-10"/>
      <w:kern w:val="28"/>
      <w:sz w:val="40"/>
      <w:szCs w:val="40"/>
      <w:lang w:eastAsia="en-GB"/>
    </w:rPr>
  </w:style>
  <w:style w:type="character" w:styleId="Hyperlink">
    <w:name w:val="Hyperlink"/>
    <w:basedOn w:val="Standaardalinea-lettertype"/>
    <w:uiPriority w:val="99"/>
    <w:unhideWhenUsed/>
    <w:rsid w:val="004C6CAC"/>
    <w:rPr>
      <w:color w:val="84AFFF" w:themeColor="accent1" w:themeTint="66"/>
      <w:u w:val="single"/>
    </w:rPr>
  </w:style>
  <w:style w:type="character" w:styleId="Onopgelostemelding">
    <w:name w:val="Unresolved Mention"/>
    <w:basedOn w:val="Standaardalinea-lettertype"/>
    <w:uiPriority w:val="99"/>
    <w:semiHidden/>
    <w:unhideWhenUsed/>
    <w:rsid w:val="004C6CAC"/>
    <w:rPr>
      <w:color w:val="605E5C"/>
      <w:shd w:val="clear" w:color="auto" w:fill="E1DFDD"/>
    </w:rPr>
  </w:style>
  <w:style w:type="paragraph" w:styleId="Inhopg1">
    <w:name w:val="toc 1"/>
    <w:basedOn w:val="Standaard"/>
    <w:next w:val="Standaard"/>
    <w:autoRedefine/>
    <w:uiPriority w:val="39"/>
    <w:unhideWhenUsed/>
    <w:rsid w:val="00C811FB"/>
    <w:pPr>
      <w:spacing w:after="100"/>
    </w:pPr>
  </w:style>
  <w:style w:type="paragraph" w:styleId="Inhopg2">
    <w:name w:val="toc 2"/>
    <w:basedOn w:val="Standaard"/>
    <w:next w:val="Standaard"/>
    <w:autoRedefine/>
    <w:uiPriority w:val="39"/>
    <w:unhideWhenUsed/>
    <w:rsid w:val="00C811FB"/>
    <w:pPr>
      <w:spacing w:after="100"/>
      <w:ind w:left="240"/>
    </w:pPr>
  </w:style>
  <w:style w:type="paragraph" w:styleId="Inhopg3">
    <w:name w:val="toc 3"/>
    <w:basedOn w:val="Standaard"/>
    <w:next w:val="Standaard"/>
    <w:autoRedefine/>
    <w:uiPriority w:val="39"/>
    <w:unhideWhenUsed/>
    <w:rsid w:val="00C811FB"/>
    <w:pPr>
      <w:spacing w:after="100"/>
      <w:ind w:left="480"/>
    </w:pPr>
  </w:style>
  <w:style w:type="table" w:styleId="Tabelraster">
    <w:name w:val="Table Grid"/>
    <w:basedOn w:val="Standaardtabel"/>
    <w:uiPriority w:val="39"/>
    <w:rsid w:val="00AC52DF"/>
    <w:pPr>
      <w:spacing w:after="0" w:line="240" w:lineRule="auto"/>
    </w:pPr>
    <w:tblPr>
      <w:tblBorders>
        <w:top w:val="single" w:color="auto" w:sz="4" w:space="0"/>
        <w:left w:val="single" w:color="auto" w:sz="4" w:space="0"/>
        <w:bottom w:val="single" w:color="auto" w:sz="4" w:space="0"/>
        <w:right w:val="single" w:color="auto" w:sz="4" w:space="0"/>
        <w:insideH w:val="single" w:color="auto" w:sz="4" w:space="0"/>
        <w:insideV w:val="single" w:color="auto" w:sz="4" w:space="0"/>
      </w:tblBorders>
    </w:tblPr>
  </w:style>
  <w:style w:type="table" w:styleId="Rastertabel1licht-Accent2">
    <w:name w:val="Grid Table 1 Light Accent 2"/>
    <w:basedOn w:val="Standaardtabel"/>
    <w:uiPriority w:val="46"/>
    <w:rsid w:val="00AC52DF"/>
    <w:pPr>
      <w:spacing w:after="0" w:line="240" w:lineRule="auto"/>
    </w:pPr>
    <w:tblPr>
      <w:tblStyleRowBandSize w:val="1"/>
      <w:tblStyleColBandSize w:val="1"/>
      <w:tblBorders>
        <w:top w:val="single" w:color="83FFBA" w:themeColor="accent2" w:themeTint="66" w:sz="4" w:space="0"/>
        <w:left w:val="single" w:color="83FFBA" w:themeColor="accent2" w:themeTint="66" w:sz="4" w:space="0"/>
        <w:bottom w:val="single" w:color="83FFBA" w:themeColor="accent2" w:themeTint="66" w:sz="4" w:space="0"/>
        <w:right w:val="single" w:color="83FFBA" w:themeColor="accent2" w:themeTint="66" w:sz="4" w:space="0"/>
        <w:insideH w:val="single" w:color="83FFBA" w:themeColor="accent2" w:themeTint="66" w:sz="4" w:space="0"/>
        <w:insideV w:val="single" w:color="83FFBA" w:themeColor="accent2" w:themeTint="66" w:sz="4" w:space="0"/>
      </w:tblBorders>
    </w:tblPr>
    <w:tblStylePr w:type="firstRow">
      <w:rPr>
        <w:b/>
        <w:bCs/>
      </w:rPr>
      <w:tblPr/>
      <w:tcPr>
        <w:tcBorders>
          <w:bottom w:val="single" w:color="45FF98" w:themeColor="accent2" w:themeTint="99" w:sz="12" w:space="0"/>
        </w:tcBorders>
      </w:tcPr>
    </w:tblStylePr>
    <w:tblStylePr w:type="lastRow">
      <w:rPr>
        <w:b/>
        <w:bCs/>
      </w:rPr>
      <w:tblPr/>
      <w:tcPr>
        <w:tcBorders>
          <w:top w:val="double" w:color="45FF98" w:themeColor="accent2" w:themeTint="99" w:sz="2" w:space="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</w:style>
  <w:style w:type="table" w:styleId="Rastertabel3-Accent2">
    <w:name w:val="Grid Table 3 Accent 2"/>
    <w:basedOn w:val="Standaardtabel"/>
    <w:uiPriority w:val="48"/>
    <w:rsid w:val="00AC52DF"/>
    <w:pPr>
      <w:spacing w:after="0" w:line="240" w:lineRule="auto"/>
    </w:pPr>
    <w:tblPr>
      <w:tblStyleRowBandSize w:val="1"/>
      <w:tblStyleColBandSize w:val="1"/>
      <w:tblBorders>
        <w:top w:val="single" w:color="45FF98" w:themeColor="accent2" w:themeTint="99" w:sz="4" w:space="0"/>
        <w:left w:val="single" w:color="45FF98" w:themeColor="accent2" w:themeTint="99" w:sz="4" w:space="0"/>
        <w:bottom w:val="single" w:color="45FF98" w:themeColor="accent2" w:themeTint="99" w:sz="4" w:space="0"/>
        <w:right w:val="single" w:color="45FF98" w:themeColor="accent2" w:themeTint="99" w:sz="4" w:space="0"/>
        <w:insideH w:val="single" w:color="45FF98" w:themeColor="accent2" w:themeTint="99" w:sz="4" w:space="0"/>
        <w:insideV w:val="single" w:color="45FF98" w:themeColor="accent2" w:themeTint="99" w:sz="4" w:space="0"/>
      </w:tblBorders>
    </w:tblPr>
    <w:tblStylePr w:type="firstRow">
      <w:rPr>
        <w:b/>
        <w:bCs/>
      </w:rPr>
      <w:tblPr/>
      <w:tcPr>
        <w:tcBorders>
          <w:top w:val="nil"/>
          <w:left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</w:rPr>
      <w:tblPr/>
      <w:tcPr>
        <w:tcBorders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pPr>
        <w:jc w:val="right"/>
      </w:pPr>
      <w:rPr>
        <w:i/>
        <w:iCs/>
      </w:rPr>
      <w:tblPr/>
      <w:tcPr>
        <w:tcBorders>
          <w:top w:val="nil"/>
          <w:left w:val="nil"/>
          <w:bottom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i/>
        <w:iCs/>
      </w:rPr>
      <w:tblPr/>
      <w:tcPr>
        <w:tcBorders>
          <w:top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shd w:val="clear" w:color="auto" w:fill="C1FFDC" w:themeFill="accent2" w:themeFillTint="33"/>
      </w:tcPr>
    </w:tblStylePr>
    <w:tblStylePr w:type="band1Horz">
      <w:tblPr/>
      <w:tcPr>
        <w:shd w:val="clear" w:color="auto" w:fill="C1FFDC" w:themeFill="accent2" w:themeFillTint="33"/>
      </w:tcPr>
    </w:tblStylePr>
    <w:tblStylePr w:type="neCell">
      <w:tblPr/>
      <w:tcPr>
        <w:tcBorders>
          <w:bottom w:val="single" w:color="45FF98" w:themeColor="accent2" w:themeTint="99" w:sz="4" w:space="0"/>
        </w:tcBorders>
      </w:tcPr>
    </w:tblStylePr>
    <w:tblStylePr w:type="nwCell">
      <w:tblPr/>
      <w:tcPr>
        <w:tcBorders>
          <w:bottom w:val="single" w:color="45FF98" w:themeColor="accent2" w:themeTint="99" w:sz="4" w:space="0"/>
        </w:tcBorders>
      </w:tcPr>
    </w:tblStylePr>
    <w:tblStylePr w:type="seCell">
      <w:tblPr/>
      <w:tcPr>
        <w:tcBorders>
          <w:top w:val="single" w:color="45FF98" w:themeColor="accent2" w:themeTint="99" w:sz="4" w:space="0"/>
        </w:tcBorders>
      </w:tcPr>
    </w:tblStylePr>
    <w:tblStylePr w:type="swCell">
      <w:tblPr/>
      <w:tcPr>
        <w:tcBorders>
          <w:top w:val="single" w:color="45FF98" w:themeColor="accent2" w:themeTint="99" w:sz="4" w:space="0"/>
        </w:tcBorders>
      </w:tcPr>
    </w:tblStylePr>
  </w:style>
  <w:style w:type="table" w:styleId="Rastertabel2-Accent1">
    <w:name w:val="Grid Table 2 Accent 1"/>
    <w:basedOn w:val="Standaardtabel"/>
    <w:uiPriority w:val="47"/>
    <w:rsid w:val="00B54B1C"/>
    <w:pPr>
      <w:spacing w:after="0" w:line="240" w:lineRule="auto"/>
    </w:pPr>
    <w:tblPr>
      <w:tblStyleRowBandSize w:val="1"/>
      <w:tblStyleColBandSize w:val="1"/>
      <w:tblBorders>
        <w:top w:val="single" w:color="4788FF" w:themeColor="accent1" w:themeTint="99" w:sz="2" w:space="0"/>
        <w:bottom w:val="single" w:color="4788FF" w:themeColor="accent1" w:themeTint="99" w:sz="2" w:space="0"/>
        <w:insideH w:val="single" w:color="4788FF" w:themeColor="accent1" w:themeTint="99" w:sz="2" w:space="0"/>
        <w:insideV w:val="single" w:color="4788FF" w:themeColor="accent1" w:themeTint="99" w:sz="2" w:space="0"/>
      </w:tblBorders>
    </w:tblPr>
    <w:tblStylePr w:type="firstRow">
      <w:rPr>
        <w:b/>
        <w:bCs/>
      </w:rPr>
      <w:tblPr/>
      <w:tcPr>
        <w:tcBorders>
          <w:top w:val="nil"/>
          <w:bottom w:val="single" w:color="4788FF" w:themeColor="accent1" w:themeTint="99" w:sz="12" w:space="0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</w:rPr>
      <w:tblPr/>
      <w:tcPr>
        <w:tcBorders>
          <w:top w:val="double" w:color="4788FF" w:themeColor="accent1" w:themeTint="99" w:sz="2" w:space="0"/>
          <w:bottom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1D7FF" w:themeFill="accent1" w:themeFillTint="33"/>
      </w:tcPr>
    </w:tblStylePr>
    <w:tblStylePr w:type="band1Horz">
      <w:tblPr/>
      <w:tcPr>
        <w:shd w:val="clear" w:color="auto" w:fill="C1D7FF" w:themeFill="accent1" w:themeFillTint="33"/>
      </w:tcPr>
    </w:tblStylePr>
  </w:style>
  <w:style w:type="table" w:styleId="Rastertabel4-Accent1">
    <w:name w:val="Grid Table 4 Accent 1"/>
    <w:basedOn w:val="Standaardtabel"/>
    <w:uiPriority w:val="49"/>
    <w:rsid w:val="00B54B1C"/>
    <w:pPr>
      <w:spacing w:after="0" w:line="240" w:lineRule="auto"/>
    </w:pPr>
    <w:tblPr>
      <w:tblStyleRowBandSize w:val="1"/>
      <w:tblStyleColBandSize w:val="1"/>
      <w:tblBorders>
        <w:top w:val="single" w:color="4788FF" w:themeColor="accent1" w:themeTint="99" w:sz="4" w:space="0"/>
        <w:left w:val="single" w:color="4788FF" w:themeColor="accent1" w:themeTint="99" w:sz="4" w:space="0"/>
        <w:bottom w:val="single" w:color="4788FF" w:themeColor="accent1" w:themeTint="99" w:sz="4" w:space="0"/>
        <w:right w:val="single" w:color="4788FF" w:themeColor="accent1" w:themeTint="99" w:sz="4" w:space="0"/>
        <w:insideH w:val="single" w:color="4788FF" w:themeColor="accent1" w:themeTint="99" w:sz="4" w:space="0"/>
        <w:insideV w:val="single" w:color="4788FF" w:themeColor="accent1" w:themeTint="99" w:sz="4" w:space="0"/>
      </w:tblBorders>
    </w:tblPr>
    <w:tblStylePr w:type="firstRow">
      <w:rPr>
        <w:b/>
        <w:bCs/>
        <w:color w:val="FFFFFF" w:themeColor="background1"/>
      </w:rPr>
      <w:tblPr/>
      <w:tcPr>
        <w:tcBorders>
          <w:top w:val="single" w:color="0048CC" w:themeColor="accent1" w:sz="4" w:space="0"/>
          <w:left w:val="single" w:color="0048CC" w:themeColor="accent1" w:sz="4" w:space="0"/>
          <w:bottom w:val="single" w:color="0048CC" w:themeColor="accent1" w:sz="4" w:space="0"/>
          <w:right w:val="single" w:color="0048CC" w:themeColor="accent1" w:sz="4" w:space="0"/>
          <w:insideH w:val="nil"/>
          <w:insideV w:val="nil"/>
        </w:tcBorders>
        <w:shd w:val="clear" w:color="auto" w:fill="0048CC" w:themeFill="accent1"/>
      </w:tcPr>
    </w:tblStylePr>
    <w:tblStylePr w:type="lastRow">
      <w:rPr>
        <w:b/>
        <w:bCs/>
      </w:rPr>
      <w:tblPr/>
      <w:tcPr>
        <w:tcBorders>
          <w:top w:val="double" w:color="0048CC" w:themeColor="accent1" w:sz="4" w:space="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1D7FF" w:themeFill="accent1" w:themeFillTint="33"/>
      </w:tcPr>
    </w:tblStylePr>
    <w:tblStylePr w:type="band1Horz">
      <w:tblPr/>
      <w:tcPr>
        <w:shd w:val="clear" w:color="auto" w:fill="C1D7FF" w:themeFill="accent1" w:themeFillTint="33"/>
      </w:tcPr>
    </w:tblStylePr>
  </w:style>
  <w:style w:type="table" w:styleId="Rastertabel6kleurrijk-Accent1">
    <w:name w:val="Grid Table 6 Colorful Accent 1"/>
    <w:basedOn w:val="Standaardtabel"/>
    <w:uiPriority w:val="51"/>
    <w:rsid w:val="00B54B1C"/>
    <w:pPr>
      <w:spacing w:after="0" w:line="240" w:lineRule="auto"/>
    </w:pPr>
    <w:rPr>
      <w:color w:val="003598" w:themeColor="accent1" w:themeShade="BF"/>
    </w:rPr>
    <w:tblPr>
      <w:tblStyleRowBandSize w:val="1"/>
      <w:tblStyleColBandSize w:val="1"/>
      <w:tblBorders>
        <w:top w:val="single" w:color="4788FF" w:themeColor="accent1" w:themeTint="99" w:sz="4" w:space="0"/>
        <w:left w:val="single" w:color="4788FF" w:themeColor="accent1" w:themeTint="99" w:sz="4" w:space="0"/>
        <w:bottom w:val="single" w:color="4788FF" w:themeColor="accent1" w:themeTint="99" w:sz="4" w:space="0"/>
        <w:right w:val="single" w:color="4788FF" w:themeColor="accent1" w:themeTint="99" w:sz="4" w:space="0"/>
        <w:insideH w:val="single" w:color="4788FF" w:themeColor="accent1" w:themeTint="99" w:sz="4" w:space="0"/>
        <w:insideV w:val="single" w:color="4788FF" w:themeColor="accent1" w:themeTint="99" w:sz="4" w:space="0"/>
      </w:tblBorders>
    </w:tblPr>
    <w:tblStylePr w:type="firstRow">
      <w:rPr>
        <w:b/>
        <w:bCs/>
      </w:rPr>
      <w:tblPr/>
      <w:tcPr>
        <w:tcBorders>
          <w:bottom w:val="single" w:color="4788FF" w:themeColor="accent1" w:themeTint="99" w:sz="12" w:space="0"/>
        </w:tcBorders>
      </w:tcPr>
    </w:tblStylePr>
    <w:tblStylePr w:type="lastRow">
      <w:rPr>
        <w:b/>
        <w:bCs/>
      </w:rPr>
      <w:tblPr/>
      <w:tcPr>
        <w:tcBorders>
          <w:top w:val="double" w:color="4788FF" w:themeColor="accent1" w:themeTint="99" w:sz="4" w:space="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1D7FF" w:themeFill="accent1" w:themeFillTint="33"/>
      </w:tcPr>
    </w:tblStylePr>
    <w:tblStylePr w:type="band1Horz">
      <w:tblPr/>
      <w:tcPr>
        <w:shd w:val="clear" w:color="auto" w:fill="C1D7FF" w:themeFill="accent1" w:themeFillTint="33"/>
      </w:tcPr>
    </w:tblStylePr>
  </w:style>
  <w:style w:type="table" w:styleId="Rastertabel7kleurrijk-Accent1">
    <w:name w:val="Grid Table 7 Colorful Accent 1"/>
    <w:basedOn w:val="Standaardtabel"/>
    <w:uiPriority w:val="52"/>
    <w:rsid w:val="00B54B1C"/>
    <w:pPr>
      <w:spacing w:after="0" w:line="240" w:lineRule="auto"/>
    </w:pPr>
    <w:rPr>
      <w:color w:val="003598" w:themeColor="accent1" w:themeShade="BF"/>
    </w:rPr>
    <w:tblPr>
      <w:tblStyleRowBandSize w:val="1"/>
      <w:tblStyleColBandSize w:val="1"/>
      <w:tblBorders>
        <w:top w:val="single" w:color="4788FF" w:themeColor="accent1" w:themeTint="99" w:sz="4" w:space="0"/>
        <w:left w:val="single" w:color="4788FF" w:themeColor="accent1" w:themeTint="99" w:sz="4" w:space="0"/>
        <w:bottom w:val="single" w:color="4788FF" w:themeColor="accent1" w:themeTint="99" w:sz="4" w:space="0"/>
        <w:right w:val="single" w:color="4788FF" w:themeColor="accent1" w:themeTint="99" w:sz="4" w:space="0"/>
        <w:insideH w:val="single" w:color="4788FF" w:themeColor="accent1" w:themeTint="99" w:sz="4" w:space="0"/>
        <w:insideV w:val="single" w:color="4788FF" w:themeColor="accent1" w:themeTint="99" w:sz="4" w:space="0"/>
      </w:tblBorders>
    </w:tblPr>
    <w:tblStylePr w:type="firstRow">
      <w:rPr>
        <w:b/>
        <w:bCs/>
      </w:rPr>
      <w:tblPr/>
      <w:tcPr>
        <w:tcBorders>
          <w:top w:val="nil"/>
          <w:left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</w:rPr>
      <w:tblPr/>
      <w:tcPr>
        <w:tcBorders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pPr>
        <w:jc w:val="right"/>
      </w:pPr>
      <w:rPr>
        <w:i/>
        <w:iCs/>
      </w:rPr>
      <w:tblPr/>
      <w:tcPr>
        <w:tcBorders>
          <w:top w:val="nil"/>
          <w:left w:val="nil"/>
          <w:bottom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i/>
        <w:iCs/>
      </w:rPr>
      <w:tblPr/>
      <w:tcPr>
        <w:tcBorders>
          <w:top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shd w:val="clear" w:color="auto" w:fill="C1D7FF" w:themeFill="accent1" w:themeFillTint="33"/>
      </w:tcPr>
    </w:tblStylePr>
    <w:tblStylePr w:type="band1Horz">
      <w:tblPr/>
      <w:tcPr>
        <w:shd w:val="clear" w:color="auto" w:fill="C1D7FF" w:themeFill="accent1" w:themeFillTint="33"/>
      </w:tcPr>
    </w:tblStylePr>
    <w:tblStylePr w:type="neCell">
      <w:tblPr/>
      <w:tcPr>
        <w:tcBorders>
          <w:bottom w:val="single" w:color="4788FF" w:themeColor="accent1" w:themeTint="99" w:sz="4" w:space="0"/>
        </w:tcBorders>
      </w:tcPr>
    </w:tblStylePr>
    <w:tblStylePr w:type="nwCell">
      <w:tblPr/>
      <w:tcPr>
        <w:tcBorders>
          <w:bottom w:val="single" w:color="4788FF" w:themeColor="accent1" w:themeTint="99" w:sz="4" w:space="0"/>
        </w:tcBorders>
      </w:tcPr>
    </w:tblStylePr>
    <w:tblStylePr w:type="seCell">
      <w:tblPr/>
      <w:tcPr>
        <w:tcBorders>
          <w:top w:val="single" w:color="4788FF" w:themeColor="accent1" w:themeTint="99" w:sz="4" w:space="0"/>
        </w:tcBorders>
      </w:tcPr>
    </w:tblStylePr>
    <w:tblStylePr w:type="swCell">
      <w:tblPr/>
      <w:tcPr>
        <w:tcBorders>
          <w:top w:val="single" w:color="4788FF" w:themeColor="accent1" w:themeTint="99" w:sz="4" w:space="0"/>
        </w:tcBorders>
      </w:tcPr>
    </w:tblStylePr>
  </w:style>
  <w:style w:type="table" w:styleId="Lijsttabel2-Accent1">
    <w:name w:val="List Table 2 Accent 1"/>
    <w:basedOn w:val="Standaardtabel"/>
    <w:uiPriority w:val="47"/>
    <w:rsid w:val="00B54B1C"/>
    <w:pPr>
      <w:spacing w:after="0" w:line="240" w:lineRule="auto"/>
    </w:pPr>
    <w:tblPr>
      <w:tblStyleRowBandSize w:val="1"/>
      <w:tblStyleColBandSize w:val="1"/>
      <w:tblBorders>
        <w:top w:val="single" w:color="4788FF" w:themeColor="accent1" w:themeTint="99" w:sz="4" w:space="0"/>
        <w:bottom w:val="single" w:color="4788FF" w:themeColor="accent1" w:themeTint="99" w:sz="4" w:space="0"/>
        <w:insideH w:val="single" w:color="4788FF" w:themeColor="accent1" w:themeTint="99" w:sz="4" w:space="0"/>
      </w:tblBorders>
    </w:tblPr>
    <w:tblStylePr w:type="firstRow">
      <w:rPr>
        <w:b/>
        <w:bCs/>
      </w:rPr>
    </w:tblStylePr>
    <w:tblStylePr w:type="lastRow">
      <w:rPr>
        <w:b/>
        <w:bCs/>
      </w:r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1D7FF" w:themeFill="accent1" w:themeFillTint="33"/>
      </w:tcPr>
    </w:tblStylePr>
    <w:tblStylePr w:type="band1Horz">
      <w:tblPr/>
      <w:tcPr>
        <w:shd w:val="clear" w:color="auto" w:fill="C1D7FF" w:themeFill="accent1" w:themeFillTint="33"/>
      </w:tcPr>
    </w:tblStylePr>
  </w:style>
  <w:style w:type="table" w:styleId="Lijsttabel1licht-Accent1">
    <w:name w:val="List Table 1 Light Accent 1"/>
    <w:basedOn w:val="Standaardtabel"/>
    <w:uiPriority w:val="46"/>
    <w:rsid w:val="00B54B1C"/>
    <w:pPr>
      <w:spacing w:after="0" w:line="240" w:lineRule="auto"/>
    </w:pPr>
    <w:tblPr>
      <w:tblStyleRowBandSize w:val="1"/>
      <w:tblStyleColBandSize w:val="1"/>
    </w:tblPr>
    <w:tblStylePr w:type="firstRow">
      <w:rPr>
        <w:b/>
        <w:bCs/>
      </w:rPr>
      <w:tblPr/>
      <w:tcPr>
        <w:tcBorders>
          <w:bottom w:val="single" w:color="4788FF" w:themeColor="accent1" w:themeTint="99" w:sz="4" w:space="0"/>
        </w:tcBorders>
      </w:tcPr>
    </w:tblStylePr>
    <w:tblStylePr w:type="lastRow">
      <w:rPr>
        <w:b/>
        <w:bCs/>
      </w:rPr>
      <w:tblPr/>
      <w:tcPr>
        <w:tcBorders>
          <w:top w:val="single" w:color="4788FF" w:themeColor="accent1" w:themeTint="99" w:sz="4" w:space="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1D7FF" w:themeFill="accent1" w:themeFillTint="33"/>
      </w:tcPr>
    </w:tblStylePr>
    <w:tblStylePr w:type="band1Horz">
      <w:tblPr/>
      <w:tcPr>
        <w:shd w:val="clear" w:color="auto" w:fill="C1D7FF" w:themeFill="accent1" w:themeFillTint="33"/>
      </w:tcPr>
    </w:tblStylePr>
  </w:style>
  <w:style xmlns:w="http://schemas.openxmlformats.org/wordprocessingml/2006/main" w:type="table" w:styleId="TableGrid">
    <w:name w:val="Table Grid"/>
    <w:basedOn w:val="TableNormal"/>
    <w:pPr>
      <w:spacing w:after="0" w:line="240" w:lineRule="auto"/>
    </w:pPr>
    <w:tblPr>
      <w:tblInd w:w="0" w:type="dxa"/>
      <w:tblBorders>
        <w:top w:val="single" w:color="auto" w:sz="4" w:space="0"/>
        <w:left w:val="single" w:color="auto" w:sz="4" w:space="0"/>
        <w:bottom w:val="single" w:color="auto" w:sz="4" w:space="0"/>
        <w:right w:val="single" w:color="auto" w:sz="4" w:space="0"/>
        <w:insideH w:val="single" w:color="auto" w:sz="4" w:space="0"/>
        <w:insideV w:val="single" w:color="auto" w:sz="4" w:space="0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webSettings" Target="webSettings.xml"/><Relationship Id="rId13" Type="http://schemas.openxmlformats.org/officeDocument/2006/relationships/header" Target="header2.xml"/><Relationship Id="rId3" Type="http://schemas.openxmlformats.org/officeDocument/2006/relationships/customXml" Target="../customXml/item3.xml"/><Relationship Id="rId7" Type="http://schemas.openxmlformats.org/officeDocument/2006/relationships/settings" Target="settings.xml"/><Relationship Id="rId12" Type="http://schemas.openxmlformats.org/officeDocument/2006/relationships/footer" Target="footer1.xml"/><Relationship Id="rId2" Type="http://schemas.openxmlformats.org/officeDocument/2006/relationships/customXml" Target="../customXml/item2.xml"/><Relationship Id="rId16" Type="http://schemas.openxmlformats.org/officeDocument/2006/relationships/theme" Target="theme/theme1.xml"/><Relationship Id="rId1" Type="http://schemas.openxmlformats.org/officeDocument/2006/relationships/customXml" Target="../customXml/item1.xml"/><Relationship Id="rId6" Type="http://schemas.openxmlformats.org/officeDocument/2006/relationships/styles" Target="styles.xml"/><Relationship Id="rId11" Type="http://schemas.openxmlformats.org/officeDocument/2006/relationships/header" Target="header1.xml"/><Relationship Id="rId5" Type="http://schemas.openxmlformats.org/officeDocument/2006/relationships/numbering" Target="numbering.xml"/><Relationship Id="rId15" Type="http://schemas.openxmlformats.org/officeDocument/2006/relationships/fontTable" Target="fontTable.xml"/><Relationship Id="rId10" Type="http://schemas.openxmlformats.org/officeDocument/2006/relationships/endnotes" Target="endnotes.xml"/><Relationship Id="rId4" Type="http://schemas.openxmlformats.org/officeDocument/2006/relationships/customXml" Target="../customXml/item4.xml"/><Relationship Id="rId9" Type="http://schemas.openxmlformats.org/officeDocument/2006/relationships/footnotes" Target="footnotes.xml"/><Relationship Id="rId14" Type="http://schemas.openxmlformats.org/officeDocument/2006/relationships/footer" Target="footer2.xml"/></Relationships>
</file>

<file path=word/_rels/footer1.xml.rels><?xml version="1.0" encoding="UTF-8" standalone="yes"?>
<Relationships xmlns="http://schemas.openxmlformats.org/package/2006/relationships"><Relationship Id="rId1" Type="http://schemas.openxmlformats.org/officeDocument/2006/relationships/hyperlink" Target="http://www.goudsmitmagnetics.com" TargetMode="External"/></Relationships>
</file>

<file path=word/_rels/footer2.xml.rels><?xml version="1.0" encoding="UTF-8" standalone="yes"?>
<Relationships xmlns="http://schemas.openxmlformats.org/package/2006/relationships"><Relationship Id="rId1" Type="http://schemas.openxmlformats.org/officeDocument/2006/relationships/hyperlink" Target="http://www.goudsmitmagnetics.com" TargetMode="Externa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_rels/header2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Goudsmit Corporate Theme 2023">
  <a:themeElements>
    <a:clrScheme name="Goudsmit Colour Palette 2023">
      <a:dk1>
        <a:sysClr val="windowText" lastClr="000000"/>
      </a:dk1>
      <a:lt1>
        <a:sysClr val="window" lastClr="FFFFFF"/>
      </a:lt1>
      <a:dk2>
        <a:srgbClr val="005AFF"/>
      </a:dk2>
      <a:lt2>
        <a:srgbClr val="E3E3E3"/>
      </a:lt2>
      <a:accent1>
        <a:srgbClr val="0048CC"/>
      </a:accent1>
      <a:accent2>
        <a:srgbClr val="00C85A"/>
      </a:accent2>
      <a:accent3>
        <a:srgbClr val="FFAA00"/>
      </a:accent3>
      <a:accent4>
        <a:srgbClr val="FC5050"/>
      </a:accent4>
      <a:accent5>
        <a:srgbClr val="CCCCCC"/>
      </a:accent5>
      <a:accent6>
        <a:srgbClr val="717171"/>
      </a:accent6>
      <a:hlink>
        <a:srgbClr val="00C85A"/>
      </a:hlink>
      <a:folHlink>
        <a:srgbClr val="00C85A"/>
      </a:folHlink>
    </a:clrScheme>
    <a:fontScheme name="Goudsmit Corporate Fonts 2023">
      <a:majorFont>
        <a:latin typeface="Arial"/>
        <a:ea typeface=""/>
        <a:cs typeface=""/>
      </a:majorFont>
      <a:minorFont>
        <a:latin typeface="Arial"/>
        <a:ea typeface=""/>
        <a:cs typeface="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Goudsmit Corporate Theme 2023" id="{3305F987-673D-44E9-AA3A-9116A370FED8}" vid="{0842E591-B680-431F-B159-E199899D7435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_rels/item4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4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2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TaxCatchAll xmlns="93e4e508-5d5a-4dac-b950-8f1eb02dadea" xsi:nil="true"/>
    <lcf76f155ced4ddcb4097134ff3c332f xmlns="381c5542-f156-4697-9034-5bb938c137f6">
      <Terms xmlns="http://schemas.microsoft.com/office/infopath/2007/PartnerControls"/>
    </lcf76f155ced4ddcb4097134ff3c332f>
    <Afbeelding xmlns="381c5542-f156-4697-9034-5bb938c137f6" xsi:nil="true"/>
  </documentManagement>
</p:properties>
</file>

<file path=customXml/item3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D404B5D5CA2BC84FA8BC1740820471AB" ma:contentTypeVersion="18" ma:contentTypeDescription="Een nieuw document maken." ma:contentTypeScope="" ma:versionID="cae8f545595516fcc49c9dbb58fc5051">
  <xsd:schema xmlns:xsd="http://www.w3.org/2001/XMLSchema" xmlns:xs="http://www.w3.org/2001/XMLSchema" xmlns:p="http://schemas.microsoft.com/office/2006/metadata/properties" xmlns:ns2="381c5542-f156-4697-9034-5bb938c137f6" xmlns:ns3="93e4e508-5d5a-4dac-b950-8f1eb02dadea" xmlns:ns4="a0f59b23-eccb-4ab8-97e4-8cfcb1b0f8db" targetNamespace="http://schemas.microsoft.com/office/2006/metadata/properties" ma:root="true" ma:fieldsID="366d70e86fee7f159d02b1193f53a51f" ns2:_="" ns3:_="" ns4:_="">
    <xsd:import namespace="381c5542-f156-4697-9034-5bb938c137f6"/>
    <xsd:import namespace="93e4e508-5d5a-4dac-b950-8f1eb02dadea"/>
    <xsd:import namespace="a0f59b23-eccb-4ab8-97e4-8cfcb1b0f8db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ObjectDetectorVersions" minOccurs="0"/>
                <xsd:element ref="ns2:MediaServiceDateTaken" minOccurs="0"/>
                <xsd:element ref="ns2:MediaServiceGenerationTime" minOccurs="0"/>
                <xsd:element ref="ns2:MediaServiceEventHashCode" minOccurs="0"/>
                <xsd:element ref="ns2:MediaLengthInSeconds" minOccurs="0"/>
                <xsd:element ref="ns2:MediaServiceLocation" minOccurs="0"/>
                <xsd:element ref="ns2:lcf76f155ced4ddcb4097134ff3c332f" minOccurs="0"/>
                <xsd:element ref="ns3:TaxCatchAll" minOccurs="0"/>
                <xsd:element ref="ns2:MediaServiceOCR" minOccurs="0"/>
                <xsd:element ref="ns4:SharedWithUsers" minOccurs="0"/>
                <xsd:element ref="ns4:SharedWithDetails" minOccurs="0"/>
                <xsd:element ref="ns2:MediaServiceSearchProperties" minOccurs="0"/>
                <xsd:element ref="ns2:Afbeelding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381c5542-f156-4697-9034-5bb938c137f6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ObjectDetectorVersions" ma:index="10" nillable="true" ma:displayName="MediaServiceObjectDetectorVersions" ma:hidden="true" ma:indexed="true" ma:internalName="MediaServiceObjectDetectorVersions" ma:readOnly="true">
      <xsd:simpleType>
        <xsd:restriction base="dms:Text"/>
      </xsd:simpleType>
    </xsd:element>
    <xsd:element name="MediaServiceDateTaken" ma:index="11" nillable="true" ma:displayName="MediaServiceDateTaken" ma:hidden="true" ma:indexed="true" ma:internalName="MediaServiceDateTaken" ma:readOnly="true">
      <xsd:simpleType>
        <xsd:restriction base="dms:Text"/>
      </xsd:simpleType>
    </xsd:element>
    <xsd:element name="MediaServiceGenerationTime" ma:index="12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3" nillable="true" ma:displayName="MediaServiceEventHashCode" ma:hidden="true" ma:internalName="MediaServiceEventHashCode" ma:readOnly="true">
      <xsd:simpleType>
        <xsd:restriction base="dms:Text"/>
      </xsd:simpleType>
    </xsd:element>
    <xsd:element name="MediaLengthInSeconds" ma:index="14" nillable="true" ma:displayName="MediaLengthInSeconds" ma:hidden="true" ma:internalName="MediaLengthInSeconds" ma:readOnly="true">
      <xsd:simpleType>
        <xsd:restriction base="dms:Unknown"/>
      </xsd:simpleType>
    </xsd:element>
    <xsd:element name="MediaServiceLocation" ma:index="15" nillable="true" ma:displayName="Location" ma:indexed="true" ma:internalName="MediaServiceLocation" ma:readOnly="true">
      <xsd:simpleType>
        <xsd:restriction base="dms:Text"/>
      </xsd:simpleType>
    </xsd:element>
    <xsd:element name="lcf76f155ced4ddcb4097134ff3c332f" ma:index="17" nillable="true" ma:taxonomy="true" ma:internalName="lcf76f155ced4ddcb4097134ff3c332f" ma:taxonomyFieldName="MediaServiceImageTags" ma:displayName="Afbeeldingtags" ma:readOnly="false" ma:fieldId="{5cf76f15-5ced-4ddc-b409-7134ff3c332f}" ma:taxonomyMulti="true" ma:sspId="88f3a641-e2fb-4db7-b600-0406c0884ad5" ma:termSetId="09814cd3-568e-fe90-9814-8d621ff8fb84" ma:anchorId="fba54fb3-c3e1-fe81-a776-ca4b69148c4d" ma:open="true" ma:isKeyword="false">
      <xsd:complexType>
        <xsd:sequence>
          <xsd:element ref="pc:Terms" minOccurs="0" maxOccurs="1"/>
        </xsd:sequence>
      </xsd:complexType>
    </xsd:element>
    <xsd:element name="MediaServiceOCR" ma:index="19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SearchProperties" ma:index="22" nillable="true" ma:displayName="MediaServiceSearchProperties" ma:hidden="true" ma:internalName="MediaServiceSearchProperties" ma:readOnly="true">
      <xsd:simpleType>
        <xsd:restriction base="dms:Note"/>
      </xsd:simpleType>
    </xsd:element>
    <xsd:element name="Afbeelding" ma:index="23" nillable="true" ma:displayName="Afbeelding" ma:format="Thumbnail" ma:internalName="Afbeelding">
      <xsd:simpleType>
        <xsd:restriction base="dms:Unknown"/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93e4e508-5d5a-4dac-b950-8f1eb02dadea" elementFormDefault="qualified">
    <xsd:import namespace="http://schemas.microsoft.com/office/2006/documentManagement/types"/>
    <xsd:import namespace="http://schemas.microsoft.com/office/infopath/2007/PartnerControls"/>
    <xsd:element name="TaxCatchAll" ma:index="18" nillable="true" ma:displayName="Taxonomy Catch All Column" ma:hidden="true" ma:list="{eb886c18-a9e8-4365-a17b-a892f714e266}" ma:internalName="TaxCatchAll" ma:showField="CatchAllData" ma:web="93e4e508-5d5a-4dac-b950-8f1eb02dadea">
      <xsd:complexType>
        <xsd:complexContent>
          <xsd:extension base="dms:MultiChoiceLookup">
            <xsd:sequence>
              <xsd:element name="Value" type="dms:Lookup" maxOccurs="unbounded" minOccurs="0" nillable="true"/>
            </xsd:sequence>
          </xsd:extension>
        </xsd:complexContent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a0f59b23-eccb-4ab8-97e4-8cfcb1b0f8db" elementFormDefault="qualified">
    <xsd:import namespace="http://schemas.microsoft.com/office/2006/documentManagement/types"/>
    <xsd:import namespace="http://schemas.microsoft.com/office/infopath/2007/PartnerControls"/>
    <xsd:element name="SharedWithUsers" ma:index="20" nillable="true" ma:displayName="Gedeeld met" ma:internalName="SharedWithUsers" ma:readOnly="true">
      <xsd:complexType>
        <xsd:complexContent>
          <xsd:extension base="dms:UserMulti">
            <xsd:sequence>
              <xsd:element name="UserInfo" minOccurs="0" maxOccurs="unbounded">
                <xsd:complexType>
                  <xsd:sequence>
                    <xsd:element name="DisplayName" type="xsd:string" minOccurs="0"/>
                    <xsd:element name="AccountId" type="dms:UserId" minOccurs="0" nillable="true"/>
                    <xsd:element name="AccountType" type="xsd:string" minOccurs="0"/>
                  </xsd:sequence>
                </xsd:complexType>
              </xsd:element>
            </xsd:sequence>
          </xsd:extension>
        </xsd:complexContent>
      </xsd:complexType>
    </xsd:element>
    <xsd:element name="SharedWithDetails" ma:index="21" nillable="true" ma:displayName="Gedeeld met details" ma:internalName="SharedWithDetails" ma:readOnly="true">
      <xsd:simpleType>
        <xsd:restriction base="dms:Note">
          <xsd:maxLength value="255"/>
        </xsd:restriction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Inhoudstype"/>
        <xsd:element ref="dc:title" minOccurs="0" maxOccurs="1" ma:index="4" ma:displayName="Titel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4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Props1.xml><?xml version="1.0" encoding="utf-8"?>
<ds:datastoreItem xmlns:ds="http://schemas.openxmlformats.org/officeDocument/2006/customXml" ds:itemID="{CB550620-13B0-4426-9CDC-E4A6624AE635}">
  <ds:schemaRefs>
    <ds:schemaRef ds:uri="http://schemas.openxmlformats.org/officeDocument/2006/bibliography"/>
  </ds:schemaRefs>
</ds:datastoreItem>
</file>

<file path=customXml/itemProps2.xml><?xml version="1.0" encoding="utf-8"?>
<ds:datastoreItem xmlns:ds="http://schemas.openxmlformats.org/officeDocument/2006/customXml" ds:itemID="{FC981579-4026-4592-8D31-2A8F848FF4D6}">
  <ds:schemaRefs>
    <ds:schemaRef ds:uri="http://schemas.microsoft.com/office/2006/metadata/properties"/>
    <ds:schemaRef ds:uri="http://schemas.microsoft.com/office/infopath/2007/PartnerControls"/>
    <ds:schemaRef ds:uri="93e4e508-5d5a-4dac-b950-8f1eb02dadea"/>
    <ds:schemaRef ds:uri="381c5542-f156-4697-9034-5bb938c137f6"/>
  </ds:schemaRefs>
</ds:datastoreItem>
</file>

<file path=customXml/itemProps3.xml><?xml version="1.0" encoding="utf-8"?>
<ds:datastoreItem xmlns:ds="http://schemas.openxmlformats.org/officeDocument/2006/customXml" ds:itemID="{EE5BA0FC-9D4C-44B8-B986-3EDF6C6CA2A2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381c5542-f156-4697-9034-5bb938c137f6"/>
    <ds:schemaRef ds:uri="93e4e508-5d5a-4dac-b950-8f1eb02dadea"/>
    <ds:schemaRef ds:uri="a0f59b23-eccb-4ab8-97e4-8cfcb1b0f8db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4.xml><?xml version="1.0" encoding="utf-8"?>
<ds:datastoreItem xmlns:ds="http://schemas.openxmlformats.org/officeDocument/2006/customXml" ds:itemID="{EB69B6CF-7DA3-4F25-A7CA-7D828EE63CE1}">
  <ds:schemaRefs>
    <ds:schemaRef ds:uri="http://schemas.microsoft.com/sharepoint/v3/contenttype/forms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0</Words>
  <Characters>0</Characters>
  <Application>Microsoft Office Word</Application>
  <DocSecurity>4</DocSecurity>
  <Lines>0</Lines>
  <Paragraphs>0</Paragraphs>
  <ScaleCrop>false</ScaleCrop>
  <Company/>
  <LinksUpToDate>false</LinksUpToDate>
  <CharactersWithSpaces>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Sjors Jacobs</dc:creator>
  <cp:keywords/>
  <dc:description/>
  <cp:lastModifiedBy>Brigit van Hoften | Solvisoft</cp:lastModifiedBy>
  <cp:revision>2</cp:revision>
  <dcterms:created xsi:type="dcterms:W3CDTF">2025-12-01T09:56:00Z</dcterms:created>
  <dcterms:modified xsi:type="dcterms:W3CDTF">2025-12-01T09:56:00Z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0x010100D404B5D5CA2BC84FA8BC1740820471AB</vt:lpwstr>
  </property>
  <property fmtid="{D5CDD505-2E9C-101B-9397-08002B2CF9AE}" pid="3" name="MediaServiceImageTags">
    <vt:lpwstr/>
  </property>
</Properties>
</file>